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91CC" w14:textId="77777777" w:rsidR="00344381" w:rsidRPr="00A15598" w:rsidRDefault="00344381" w:rsidP="00344381">
      <w:pPr>
        <w:spacing w:after="0" w:line="240" w:lineRule="auto"/>
        <w:jc w:val="both"/>
        <w:rPr>
          <w:rFonts w:eastAsia="Times New Roman" w:cstheme="minorHAnsi"/>
          <w:sz w:val="24"/>
          <w:szCs w:val="24"/>
          <w:lang w:val="es-ES_tradnl" w:eastAsia="es-ES_tradnl"/>
        </w:rPr>
      </w:pPr>
    </w:p>
    <w:p w14:paraId="449D2F0D" w14:textId="77777777" w:rsidR="00344381" w:rsidRPr="00A15598" w:rsidRDefault="00344381" w:rsidP="00344381">
      <w:pPr>
        <w:spacing w:after="0" w:line="240" w:lineRule="auto"/>
        <w:jc w:val="both"/>
        <w:rPr>
          <w:rFonts w:eastAsia="Times New Roman" w:cstheme="minorHAnsi"/>
          <w:sz w:val="24"/>
          <w:szCs w:val="24"/>
          <w:lang w:val="es-ES_tradnl" w:eastAsia="es-ES_tradnl"/>
        </w:rPr>
      </w:pPr>
      <w:r w:rsidRPr="00A15598">
        <w:rPr>
          <w:rFonts w:eastAsia="Times New Roman" w:cstheme="minorHAnsi"/>
          <w:sz w:val="24"/>
          <w:szCs w:val="24"/>
          <w:lang w:val="es-ES_tradnl" w:eastAsia="es-ES_tradnl"/>
        </w:rPr>
        <w:t>Doctor</w:t>
      </w:r>
    </w:p>
    <w:p w14:paraId="5D22EDCC" w14:textId="77777777" w:rsidR="00441599" w:rsidRPr="00A15598" w:rsidRDefault="002B60D6" w:rsidP="00344381">
      <w:pPr>
        <w:spacing w:after="0" w:line="240" w:lineRule="auto"/>
        <w:jc w:val="both"/>
        <w:rPr>
          <w:rFonts w:eastAsia="Times New Roman" w:cstheme="minorHAnsi"/>
          <w:b/>
          <w:sz w:val="24"/>
          <w:szCs w:val="24"/>
          <w:lang w:val="es-ES_tradnl" w:eastAsia="es-ES_tradnl"/>
        </w:rPr>
      </w:pPr>
      <w:r w:rsidRPr="00A15598">
        <w:rPr>
          <w:rFonts w:eastAsia="Times New Roman" w:cstheme="minorHAnsi"/>
          <w:b/>
          <w:sz w:val="24"/>
          <w:szCs w:val="24"/>
          <w:lang w:val="es-ES_tradnl" w:eastAsia="es-ES_tradnl"/>
        </w:rPr>
        <w:t xml:space="preserve">OSCAR HERNÁN SÁNCHEZ LEÓN </w:t>
      </w:r>
    </w:p>
    <w:p w14:paraId="2009906A" w14:textId="77777777" w:rsidR="00344381" w:rsidRPr="00A15598" w:rsidRDefault="00344381" w:rsidP="00344381">
      <w:pPr>
        <w:spacing w:after="0" w:line="240" w:lineRule="auto"/>
        <w:jc w:val="both"/>
        <w:rPr>
          <w:rFonts w:eastAsia="Times New Roman" w:cstheme="minorHAnsi"/>
          <w:sz w:val="24"/>
          <w:szCs w:val="24"/>
          <w:lang w:val="es-ES_tradnl" w:eastAsia="es-ES_tradnl"/>
        </w:rPr>
      </w:pPr>
      <w:r w:rsidRPr="00A15598">
        <w:rPr>
          <w:rFonts w:eastAsia="Times New Roman" w:cstheme="minorHAnsi"/>
          <w:sz w:val="24"/>
          <w:szCs w:val="24"/>
          <w:lang w:val="es-ES_tradnl" w:eastAsia="es-ES_tradnl"/>
        </w:rPr>
        <w:t xml:space="preserve">Presidente </w:t>
      </w:r>
    </w:p>
    <w:p w14:paraId="29F5FC2A" w14:textId="77777777" w:rsidR="00344381" w:rsidRPr="00A15598" w:rsidRDefault="00344381" w:rsidP="00344381">
      <w:pPr>
        <w:spacing w:after="0" w:line="240" w:lineRule="auto"/>
        <w:jc w:val="both"/>
        <w:rPr>
          <w:rFonts w:eastAsia="Times New Roman" w:cstheme="minorHAnsi"/>
          <w:sz w:val="24"/>
          <w:szCs w:val="24"/>
          <w:lang w:val="es-ES_tradnl" w:eastAsia="es-ES_tradnl"/>
        </w:rPr>
      </w:pPr>
      <w:r w:rsidRPr="00A15598">
        <w:rPr>
          <w:rFonts w:eastAsia="Times New Roman" w:cstheme="minorHAnsi"/>
          <w:sz w:val="24"/>
          <w:szCs w:val="24"/>
          <w:lang w:val="es-ES_tradnl" w:eastAsia="es-ES_tradnl"/>
        </w:rPr>
        <w:t>Comisión Primera Constitucional permanente</w:t>
      </w:r>
    </w:p>
    <w:p w14:paraId="5CD79FF0" w14:textId="77777777" w:rsidR="00441599" w:rsidRPr="00A15598" w:rsidRDefault="00441599" w:rsidP="00344381">
      <w:pPr>
        <w:spacing w:after="0" w:line="240" w:lineRule="auto"/>
        <w:jc w:val="both"/>
        <w:rPr>
          <w:rFonts w:eastAsia="Times New Roman" w:cstheme="minorHAnsi"/>
          <w:sz w:val="24"/>
          <w:szCs w:val="24"/>
          <w:lang w:val="es-ES_tradnl" w:eastAsia="es-ES_tradnl"/>
        </w:rPr>
      </w:pPr>
      <w:r w:rsidRPr="00A15598">
        <w:rPr>
          <w:rFonts w:eastAsia="Times New Roman" w:cstheme="minorHAnsi"/>
          <w:sz w:val="24"/>
          <w:szCs w:val="24"/>
          <w:lang w:val="es-ES_tradnl" w:eastAsia="es-ES_tradnl"/>
        </w:rPr>
        <w:t xml:space="preserve">Cámara de Representantes </w:t>
      </w:r>
    </w:p>
    <w:p w14:paraId="571F9B5E" w14:textId="77777777" w:rsidR="00344381" w:rsidRPr="00A15598" w:rsidRDefault="00344381" w:rsidP="00344381">
      <w:pPr>
        <w:spacing w:after="0" w:line="240" w:lineRule="auto"/>
        <w:jc w:val="both"/>
        <w:rPr>
          <w:rFonts w:eastAsia="Times New Roman" w:cstheme="minorHAnsi"/>
          <w:sz w:val="24"/>
          <w:szCs w:val="24"/>
          <w:lang w:val="es-ES_tradnl" w:eastAsia="es-ES_tradnl"/>
        </w:rPr>
      </w:pPr>
      <w:r w:rsidRPr="00A15598">
        <w:rPr>
          <w:rFonts w:eastAsia="Times New Roman" w:cstheme="minorHAnsi"/>
          <w:sz w:val="24"/>
          <w:szCs w:val="24"/>
          <w:lang w:val="es-ES_tradnl" w:eastAsia="es-ES_tradnl"/>
        </w:rPr>
        <w:t>Ciudad</w:t>
      </w:r>
    </w:p>
    <w:p w14:paraId="7298558A" w14:textId="77777777" w:rsidR="00344381" w:rsidRPr="00A15598" w:rsidRDefault="00344381" w:rsidP="00344381">
      <w:pPr>
        <w:spacing w:after="0" w:line="240" w:lineRule="auto"/>
        <w:jc w:val="both"/>
        <w:rPr>
          <w:rFonts w:eastAsia="Times New Roman" w:cstheme="minorHAnsi"/>
          <w:sz w:val="24"/>
          <w:szCs w:val="24"/>
          <w:lang w:val="es-ES_tradnl" w:eastAsia="es-ES_tradnl"/>
        </w:rPr>
      </w:pPr>
    </w:p>
    <w:p w14:paraId="59167AA7" w14:textId="77777777" w:rsidR="00344381" w:rsidRPr="00A15598" w:rsidRDefault="00344381" w:rsidP="00344381">
      <w:pPr>
        <w:spacing w:after="0" w:line="240" w:lineRule="auto"/>
        <w:jc w:val="both"/>
        <w:rPr>
          <w:rFonts w:eastAsia="Times New Roman" w:cstheme="minorHAnsi"/>
          <w:sz w:val="24"/>
          <w:szCs w:val="24"/>
          <w:lang w:val="es-ES_tradnl" w:eastAsia="es-ES_tradnl"/>
        </w:rPr>
      </w:pPr>
    </w:p>
    <w:p w14:paraId="4E6C4BAF" w14:textId="77777777" w:rsidR="00344381" w:rsidRPr="00A15598" w:rsidRDefault="00344381" w:rsidP="00344381">
      <w:pPr>
        <w:spacing w:after="0" w:line="240" w:lineRule="auto"/>
        <w:jc w:val="both"/>
        <w:rPr>
          <w:rFonts w:eastAsia="Times New Roman" w:cstheme="minorHAnsi"/>
          <w:sz w:val="24"/>
          <w:szCs w:val="24"/>
          <w:lang w:val="es-ES_tradnl" w:eastAsia="es-ES_tradnl"/>
        </w:rPr>
      </w:pPr>
    </w:p>
    <w:p w14:paraId="2BA04B72" w14:textId="77777777" w:rsidR="00344381" w:rsidRPr="00A15598" w:rsidRDefault="00344381" w:rsidP="00441599">
      <w:pPr>
        <w:spacing w:after="0" w:line="240" w:lineRule="auto"/>
        <w:ind w:left="708"/>
        <w:jc w:val="both"/>
        <w:rPr>
          <w:rFonts w:eastAsia="Times New Roman" w:cstheme="minorHAnsi"/>
          <w:i/>
          <w:sz w:val="24"/>
          <w:szCs w:val="24"/>
          <w:lang w:val="es-ES_tradnl" w:eastAsia="es-ES_tradnl"/>
        </w:rPr>
      </w:pPr>
      <w:r w:rsidRPr="00A15598">
        <w:rPr>
          <w:rFonts w:eastAsia="Times New Roman" w:cstheme="minorHAnsi"/>
          <w:b/>
          <w:sz w:val="24"/>
          <w:szCs w:val="24"/>
          <w:lang w:val="es-ES_tradnl" w:eastAsia="es-ES_tradnl"/>
        </w:rPr>
        <w:t>Ref.</w:t>
      </w:r>
      <w:r w:rsidRPr="00A15598">
        <w:rPr>
          <w:rFonts w:eastAsia="Times New Roman" w:cstheme="minorHAnsi"/>
          <w:sz w:val="24"/>
          <w:szCs w:val="24"/>
          <w:lang w:val="es-ES_tradnl" w:eastAsia="es-ES_tradnl"/>
        </w:rPr>
        <w:t xml:space="preserve">  Ponencia para </w:t>
      </w:r>
      <w:r w:rsidR="00441599" w:rsidRPr="00A15598">
        <w:rPr>
          <w:rFonts w:eastAsia="Times New Roman" w:cstheme="minorHAnsi"/>
          <w:sz w:val="24"/>
          <w:szCs w:val="24"/>
          <w:lang w:val="es-ES_tradnl" w:eastAsia="es-ES_tradnl"/>
        </w:rPr>
        <w:t xml:space="preserve">primer </w:t>
      </w:r>
      <w:r w:rsidRPr="00A15598">
        <w:rPr>
          <w:rFonts w:eastAsia="Times New Roman" w:cstheme="minorHAnsi"/>
          <w:sz w:val="24"/>
          <w:szCs w:val="24"/>
          <w:lang w:val="es-ES_tradnl" w:eastAsia="es-ES_tradnl"/>
        </w:rPr>
        <w:t xml:space="preserve">debate </w:t>
      </w:r>
      <w:r w:rsidR="00441599" w:rsidRPr="00A15598">
        <w:rPr>
          <w:rFonts w:eastAsia="Times New Roman" w:cstheme="minorHAnsi"/>
          <w:sz w:val="24"/>
          <w:szCs w:val="24"/>
          <w:lang w:val="es-ES_tradnl" w:eastAsia="es-ES_tradnl"/>
        </w:rPr>
        <w:t xml:space="preserve">al </w:t>
      </w:r>
      <w:r w:rsidR="00441599" w:rsidRPr="00A15598">
        <w:rPr>
          <w:rFonts w:eastAsia="Times New Roman" w:cstheme="minorHAnsi"/>
          <w:b/>
          <w:sz w:val="24"/>
          <w:szCs w:val="24"/>
          <w:lang w:val="es-ES_tradnl" w:eastAsia="es-ES_tradnl"/>
        </w:rPr>
        <w:t>PROYECTO DE LEY 348 DE 2024 CÁMARA- 105 DE 2022 SENADO</w:t>
      </w:r>
      <w:r w:rsidR="00441599" w:rsidRPr="00A15598">
        <w:rPr>
          <w:rFonts w:eastAsia="Times New Roman" w:cstheme="minorHAnsi"/>
          <w:sz w:val="24"/>
          <w:szCs w:val="24"/>
          <w:lang w:val="es-ES_tradnl" w:eastAsia="es-ES_tradnl"/>
        </w:rPr>
        <w:t xml:space="preserve">: </w:t>
      </w:r>
      <w:r w:rsidRPr="00A15598">
        <w:rPr>
          <w:rFonts w:eastAsia="Times New Roman" w:cstheme="minorHAnsi"/>
          <w:bCs/>
          <w:i/>
          <w:sz w:val="24"/>
          <w:szCs w:val="24"/>
          <w:lang w:val="es-ES_tradnl" w:eastAsia="es-ES_tradnl"/>
        </w:rPr>
        <w:t>“</w:t>
      </w:r>
      <w:r w:rsidRPr="00A15598">
        <w:rPr>
          <w:rFonts w:cstheme="minorHAnsi"/>
          <w:i/>
          <w:sz w:val="24"/>
          <w:szCs w:val="24"/>
        </w:rPr>
        <w:t>Por medio de la cual se establecen los cargos, oficios o profesiones susceptibles de aplicación de la inhabilidad por delitos sexuales contra menores y se dictan otras disposiciones. “ENTORNOS SEGUROS”</w:t>
      </w:r>
    </w:p>
    <w:p w14:paraId="3F7B2A35" w14:textId="77777777" w:rsidR="00344381" w:rsidRPr="00A15598" w:rsidRDefault="00344381" w:rsidP="00441599">
      <w:pPr>
        <w:autoSpaceDE w:val="0"/>
        <w:autoSpaceDN w:val="0"/>
        <w:adjustRightInd w:val="0"/>
        <w:spacing w:after="0" w:line="240" w:lineRule="auto"/>
        <w:jc w:val="both"/>
        <w:rPr>
          <w:rFonts w:cstheme="minorHAnsi"/>
          <w:sz w:val="24"/>
          <w:szCs w:val="24"/>
        </w:rPr>
      </w:pPr>
    </w:p>
    <w:p w14:paraId="730F0C44" w14:textId="77777777" w:rsidR="00344381" w:rsidRPr="00A15598" w:rsidRDefault="00344381" w:rsidP="00441599">
      <w:pPr>
        <w:autoSpaceDE w:val="0"/>
        <w:autoSpaceDN w:val="0"/>
        <w:adjustRightInd w:val="0"/>
        <w:spacing w:after="0" w:line="240" w:lineRule="auto"/>
        <w:jc w:val="both"/>
        <w:rPr>
          <w:rFonts w:cstheme="minorHAnsi"/>
          <w:sz w:val="24"/>
          <w:szCs w:val="24"/>
        </w:rPr>
      </w:pPr>
    </w:p>
    <w:p w14:paraId="235684D1" w14:textId="77777777" w:rsidR="00344381" w:rsidRPr="00A15598" w:rsidRDefault="00344381" w:rsidP="00344381">
      <w:pPr>
        <w:autoSpaceDE w:val="0"/>
        <w:autoSpaceDN w:val="0"/>
        <w:adjustRightInd w:val="0"/>
        <w:spacing w:after="0" w:line="240" w:lineRule="auto"/>
        <w:jc w:val="both"/>
        <w:rPr>
          <w:rFonts w:cstheme="minorHAnsi"/>
          <w:sz w:val="24"/>
          <w:szCs w:val="24"/>
        </w:rPr>
      </w:pPr>
      <w:r w:rsidRPr="00A15598">
        <w:rPr>
          <w:rFonts w:cstheme="minorHAnsi"/>
          <w:sz w:val="24"/>
          <w:szCs w:val="24"/>
        </w:rPr>
        <w:t xml:space="preserve">Honorable Presidente: </w:t>
      </w:r>
    </w:p>
    <w:p w14:paraId="4931FFFF" w14:textId="77777777" w:rsidR="00344381" w:rsidRPr="00A15598" w:rsidRDefault="00344381" w:rsidP="00344381">
      <w:pPr>
        <w:autoSpaceDE w:val="0"/>
        <w:autoSpaceDN w:val="0"/>
        <w:adjustRightInd w:val="0"/>
        <w:spacing w:after="0" w:line="240" w:lineRule="auto"/>
        <w:jc w:val="both"/>
        <w:rPr>
          <w:rFonts w:cstheme="minorHAnsi"/>
          <w:sz w:val="24"/>
          <w:szCs w:val="24"/>
        </w:rPr>
      </w:pPr>
    </w:p>
    <w:p w14:paraId="1E36AAB6" w14:textId="77777777" w:rsidR="00344381" w:rsidRPr="00A15598" w:rsidRDefault="00344381" w:rsidP="00344381">
      <w:pPr>
        <w:autoSpaceDE w:val="0"/>
        <w:autoSpaceDN w:val="0"/>
        <w:adjustRightInd w:val="0"/>
        <w:spacing w:after="0" w:line="240" w:lineRule="auto"/>
        <w:jc w:val="both"/>
        <w:rPr>
          <w:rFonts w:cstheme="minorHAnsi"/>
          <w:sz w:val="24"/>
          <w:szCs w:val="24"/>
        </w:rPr>
      </w:pPr>
    </w:p>
    <w:p w14:paraId="323FD020" w14:textId="77777777" w:rsidR="00344381" w:rsidRPr="00A15598" w:rsidRDefault="00344381" w:rsidP="00344381">
      <w:pPr>
        <w:autoSpaceDE w:val="0"/>
        <w:autoSpaceDN w:val="0"/>
        <w:adjustRightInd w:val="0"/>
        <w:spacing w:after="0" w:line="240" w:lineRule="auto"/>
        <w:jc w:val="both"/>
        <w:rPr>
          <w:rFonts w:cstheme="minorHAnsi"/>
          <w:sz w:val="24"/>
          <w:szCs w:val="24"/>
        </w:rPr>
      </w:pPr>
      <w:r w:rsidRPr="00A15598">
        <w:rPr>
          <w:rFonts w:cstheme="minorHAnsi"/>
          <w:sz w:val="24"/>
          <w:szCs w:val="24"/>
        </w:rPr>
        <w:t>Atendiendo la designación realizada por la Mesa Directiva de la Comisión Primera</w:t>
      </w:r>
      <w:r w:rsidR="00441599" w:rsidRPr="00A15598">
        <w:rPr>
          <w:rFonts w:cstheme="minorHAnsi"/>
          <w:sz w:val="24"/>
          <w:szCs w:val="24"/>
        </w:rPr>
        <w:t xml:space="preserve"> de la Cámara de Representantes</w:t>
      </w:r>
      <w:r w:rsidRPr="00A15598">
        <w:rPr>
          <w:rFonts w:cstheme="minorHAnsi"/>
          <w:sz w:val="24"/>
          <w:szCs w:val="24"/>
        </w:rPr>
        <w:t xml:space="preserve">, dentro del término establecido para tal efecto, me permito rendir informe de ponencia positiva para </w:t>
      </w:r>
      <w:r w:rsidR="00441599" w:rsidRPr="00A15598">
        <w:rPr>
          <w:rFonts w:cstheme="minorHAnsi"/>
          <w:sz w:val="24"/>
          <w:szCs w:val="24"/>
        </w:rPr>
        <w:t xml:space="preserve">primer </w:t>
      </w:r>
      <w:r w:rsidRPr="00A15598">
        <w:rPr>
          <w:rFonts w:cstheme="minorHAnsi"/>
          <w:sz w:val="24"/>
          <w:szCs w:val="24"/>
        </w:rPr>
        <w:t>debate al Proyecto de la referencia.</w:t>
      </w:r>
    </w:p>
    <w:p w14:paraId="55202474" w14:textId="77777777" w:rsidR="00344381" w:rsidRPr="00A15598" w:rsidRDefault="00344381" w:rsidP="00344381">
      <w:pPr>
        <w:autoSpaceDE w:val="0"/>
        <w:autoSpaceDN w:val="0"/>
        <w:adjustRightInd w:val="0"/>
        <w:spacing w:after="0" w:line="240" w:lineRule="auto"/>
        <w:jc w:val="both"/>
        <w:rPr>
          <w:rFonts w:cstheme="minorHAnsi"/>
          <w:sz w:val="24"/>
          <w:szCs w:val="24"/>
        </w:rPr>
      </w:pPr>
    </w:p>
    <w:p w14:paraId="4D236542" w14:textId="77777777" w:rsidR="00215B7B" w:rsidRPr="00A15598" w:rsidRDefault="00215B7B" w:rsidP="00344381">
      <w:pPr>
        <w:spacing w:after="0" w:line="240" w:lineRule="auto"/>
        <w:jc w:val="both"/>
        <w:rPr>
          <w:rFonts w:cstheme="minorHAnsi"/>
          <w:sz w:val="24"/>
          <w:szCs w:val="24"/>
          <w:lang w:eastAsia="es-ES_tradnl"/>
        </w:rPr>
      </w:pPr>
    </w:p>
    <w:p w14:paraId="61F07D20" w14:textId="77777777" w:rsidR="00344381" w:rsidRPr="00A15598" w:rsidRDefault="00344381" w:rsidP="00344381">
      <w:pPr>
        <w:spacing w:after="0" w:line="240" w:lineRule="auto"/>
        <w:jc w:val="both"/>
        <w:rPr>
          <w:rFonts w:cstheme="minorHAnsi"/>
          <w:sz w:val="24"/>
          <w:szCs w:val="24"/>
          <w:lang w:eastAsia="es-ES_tradnl"/>
        </w:rPr>
      </w:pPr>
      <w:r w:rsidRPr="00A15598">
        <w:rPr>
          <w:rFonts w:cstheme="minorHAnsi"/>
          <w:sz w:val="24"/>
          <w:szCs w:val="24"/>
          <w:lang w:eastAsia="es-ES_tradnl"/>
        </w:rPr>
        <w:t>Cordialmente,</w:t>
      </w:r>
    </w:p>
    <w:p w14:paraId="61FD20E5" w14:textId="77777777" w:rsidR="00344381" w:rsidRPr="00A15598" w:rsidRDefault="00344381" w:rsidP="00344381">
      <w:pPr>
        <w:spacing w:after="0" w:line="240" w:lineRule="auto"/>
        <w:jc w:val="both"/>
        <w:rPr>
          <w:rFonts w:cstheme="minorHAnsi"/>
          <w:sz w:val="24"/>
          <w:szCs w:val="24"/>
          <w:lang w:eastAsia="es-ES_tradnl"/>
        </w:rPr>
      </w:pPr>
    </w:p>
    <w:p w14:paraId="46E3DD17" w14:textId="77777777" w:rsidR="00344381" w:rsidRPr="00A15598" w:rsidRDefault="00344381" w:rsidP="00344381">
      <w:pPr>
        <w:spacing w:after="0" w:line="240" w:lineRule="auto"/>
        <w:jc w:val="both"/>
        <w:rPr>
          <w:rFonts w:cstheme="minorHAnsi"/>
          <w:sz w:val="24"/>
          <w:szCs w:val="24"/>
          <w:lang w:eastAsia="es-ES_tradnl"/>
        </w:rPr>
      </w:pPr>
    </w:p>
    <w:p w14:paraId="2EA58469" w14:textId="77777777" w:rsidR="00215B7B" w:rsidRPr="00A15598" w:rsidRDefault="00215B7B" w:rsidP="00344381">
      <w:pPr>
        <w:spacing w:after="0" w:line="240" w:lineRule="auto"/>
        <w:jc w:val="both"/>
        <w:rPr>
          <w:rFonts w:cstheme="minorHAnsi"/>
          <w:sz w:val="24"/>
          <w:szCs w:val="24"/>
          <w:lang w:eastAsia="es-ES_tradnl"/>
        </w:rPr>
      </w:pPr>
    </w:p>
    <w:p w14:paraId="1ED58DCF" w14:textId="77777777" w:rsidR="00215B7B" w:rsidRPr="00A15598" w:rsidRDefault="00215B7B" w:rsidP="00344381">
      <w:pPr>
        <w:spacing w:after="0" w:line="240" w:lineRule="auto"/>
        <w:jc w:val="both"/>
        <w:rPr>
          <w:rFonts w:cstheme="minorHAnsi"/>
          <w:sz w:val="24"/>
          <w:szCs w:val="24"/>
          <w:lang w:eastAsia="es-ES_tradnl"/>
        </w:rPr>
      </w:pPr>
    </w:p>
    <w:p w14:paraId="01ADF3A1" w14:textId="77777777" w:rsidR="00215B7B" w:rsidRPr="00A15598" w:rsidRDefault="00215B7B" w:rsidP="00344381">
      <w:pPr>
        <w:spacing w:after="0" w:line="240" w:lineRule="auto"/>
        <w:jc w:val="both"/>
        <w:rPr>
          <w:rFonts w:cstheme="minorHAnsi"/>
          <w:sz w:val="24"/>
          <w:szCs w:val="24"/>
          <w:lang w:eastAsia="es-ES_tradnl"/>
        </w:rPr>
      </w:pPr>
    </w:p>
    <w:p w14:paraId="09680829" w14:textId="77777777" w:rsidR="00215B7B" w:rsidRPr="00A15598" w:rsidRDefault="00215B7B" w:rsidP="00215B7B">
      <w:pPr>
        <w:pStyle w:val="Sinespaciado"/>
        <w:rPr>
          <w:rFonts w:cstheme="minorHAnsi"/>
          <w:b/>
          <w:sz w:val="24"/>
          <w:szCs w:val="24"/>
        </w:rPr>
      </w:pPr>
      <w:r w:rsidRPr="00A15598">
        <w:rPr>
          <w:rFonts w:cstheme="minorHAnsi"/>
          <w:b/>
          <w:sz w:val="24"/>
          <w:szCs w:val="24"/>
        </w:rPr>
        <w:t>RUTH AMELIA CAYCEDO ROSERO</w:t>
      </w:r>
    </w:p>
    <w:p w14:paraId="770DC7DD" w14:textId="77777777" w:rsidR="00215B7B" w:rsidRPr="00A15598" w:rsidRDefault="00215B7B" w:rsidP="00215B7B">
      <w:pPr>
        <w:pStyle w:val="Sinespaciado"/>
        <w:rPr>
          <w:rFonts w:cstheme="minorHAnsi"/>
          <w:sz w:val="24"/>
          <w:szCs w:val="24"/>
        </w:rPr>
      </w:pPr>
      <w:r w:rsidRPr="00A15598">
        <w:rPr>
          <w:rFonts w:cstheme="minorHAnsi"/>
          <w:sz w:val="24"/>
          <w:szCs w:val="24"/>
        </w:rPr>
        <w:t>Representante a la Cámara por el Departamento de Nariño.</w:t>
      </w:r>
    </w:p>
    <w:p w14:paraId="66B9583E" w14:textId="77777777" w:rsidR="00215B7B" w:rsidRPr="00A15598" w:rsidRDefault="00215B7B" w:rsidP="00215B7B">
      <w:pPr>
        <w:pStyle w:val="Sinespaciado"/>
        <w:rPr>
          <w:rFonts w:cstheme="minorHAnsi"/>
          <w:sz w:val="24"/>
          <w:szCs w:val="24"/>
        </w:rPr>
      </w:pPr>
      <w:r w:rsidRPr="00A15598">
        <w:rPr>
          <w:rFonts w:cstheme="minorHAnsi"/>
          <w:sz w:val="24"/>
          <w:szCs w:val="24"/>
        </w:rPr>
        <w:t>Partido Conservador Colombiano.</w:t>
      </w:r>
    </w:p>
    <w:p w14:paraId="6F7B33E3" w14:textId="77777777" w:rsidR="00344381" w:rsidRPr="00A15598" w:rsidRDefault="00344381" w:rsidP="00344381">
      <w:pPr>
        <w:spacing w:after="0" w:line="240" w:lineRule="auto"/>
        <w:jc w:val="both"/>
        <w:rPr>
          <w:rFonts w:cstheme="minorHAnsi"/>
          <w:sz w:val="24"/>
          <w:szCs w:val="24"/>
          <w:lang w:eastAsia="es-ES_tradnl"/>
        </w:rPr>
      </w:pPr>
    </w:p>
    <w:p w14:paraId="648284D9" w14:textId="77777777" w:rsidR="00344381" w:rsidRPr="00A15598" w:rsidRDefault="00344381" w:rsidP="00344381">
      <w:pPr>
        <w:spacing w:after="0" w:line="240" w:lineRule="auto"/>
        <w:jc w:val="both"/>
        <w:rPr>
          <w:rFonts w:cstheme="minorHAnsi"/>
          <w:sz w:val="24"/>
          <w:szCs w:val="24"/>
          <w:lang w:eastAsia="es-ES_tradnl"/>
        </w:rPr>
      </w:pPr>
    </w:p>
    <w:p w14:paraId="7E2F5C8F" w14:textId="77777777" w:rsidR="00344381" w:rsidRPr="00A15598" w:rsidRDefault="00344381" w:rsidP="00344381">
      <w:pPr>
        <w:spacing w:after="0" w:line="240" w:lineRule="auto"/>
        <w:jc w:val="both"/>
        <w:rPr>
          <w:rFonts w:cstheme="minorHAnsi"/>
          <w:sz w:val="24"/>
          <w:szCs w:val="24"/>
          <w:lang w:eastAsia="es-ES_tradnl"/>
        </w:rPr>
      </w:pPr>
    </w:p>
    <w:p w14:paraId="79FED115" w14:textId="77777777" w:rsidR="00344381" w:rsidRPr="00A15598" w:rsidRDefault="00344381" w:rsidP="00344381">
      <w:pPr>
        <w:spacing w:after="0" w:line="240" w:lineRule="auto"/>
        <w:jc w:val="both"/>
        <w:rPr>
          <w:rFonts w:cstheme="minorHAnsi"/>
          <w:sz w:val="24"/>
          <w:szCs w:val="24"/>
          <w:lang w:eastAsia="es-ES_tradnl"/>
        </w:rPr>
      </w:pPr>
    </w:p>
    <w:p w14:paraId="3FA80BA3" w14:textId="77777777" w:rsidR="00344381" w:rsidRPr="00A15598" w:rsidRDefault="00344381" w:rsidP="00344381">
      <w:pPr>
        <w:spacing w:after="0" w:line="240" w:lineRule="auto"/>
        <w:jc w:val="both"/>
        <w:rPr>
          <w:rFonts w:cstheme="minorHAnsi"/>
          <w:sz w:val="24"/>
          <w:szCs w:val="24"/>
          <w:lang w:eastAsia="es-ES_tradnl"/>
        </w:rPr>
      </w:pPr>
    </w:p>
    <w:p w14:paraId="2CD3538B" w14:textId="77777777" w:rsidR="00344381" w:rsidRPr="00A15598" w:rsidRDefault="00344381" w:rsidP="00344381">
      <w:pPr>
        <w:spacing w:after="0" w:line="240" w:lineRule="auto"/>
        <w:jc w:val="both"/>
        <w:rPr>
          <w:rFonts w:cstheme="minorHAnsi"/>
          <w:sz w:val="24"/>
          <w:szCs w:val="24"/>
          <w:lang w:eastAsia="es-ES_tradnl"/>
        </w:rPr>
      </w:pPr>
    </w:p>
    <w:p w14:paraId="4238C17B" w14:textId="77777777" w:rsidR="00344381" w:rsidRPr="00A15598" w:rsidRDefault="00344381" w:rsidP="00344381">
      <w:pPr>
        <w:spacing w:after="0" w:line="240" w:lineRule="auto"/>
        <w:jc w:val="both"/>
        <w:rPr>
          <w:rFonts w:cstheme="minorHAnsi"/>
          <w:sz w:val="24"/>
          <w:szCs w:val="24"/>
          <w:lang w:eastAsia="es-ES_tradnl"/>
        </w:rPr>
      </w:pPr>
    </w:p>
    <w:p w14:paraId="16635830" w14:textId="77777777" w:rsidR="00344381" w:rsidRPr="00A15598" w:rsidRDefault="00344381" w:rsidP="00344381">
      <w:pPr>
        <w:spacing w:after="0" w:line="240" w:lineRule="auto"/>
        <w:jc w:val="both"/>
        <w:rPr>
          <w:rFonts w:cstheme="minorHAnsi"/>
          <w:sz w:val="24"/>
          <w:szCs w:val="24"/>
          <w:lang w:eastAsia="es-ES_tradnl"/>
        </w:rPr>
      </w:pPr>
    </w:p>
    <w:p w14:paraId="7C3AEE5E" w14:textId="77777777" w:rsidR="00344381" w:rsidRPr="00A15598" w:rsidRDefault="00344381" w:rsidP="00344381">
      <w:pPr>
        <w:spacing w:after="0" w:line="240" w:lineRule="auto"/>
        <w:jc w:val="both"/>
        <w:rPr>
          <w:rFonts w:cstheme="minorHAnsi"/>
          <w:sz w:val="24"/>
          <w:szCs w:val="24"/>
          <w:lang w:eastAsia="es-ES_tradnl"/>
        </w:rPr>
      </w:pPr>
    </w:p>
    <w:p w14:paraId="6F6CE753" w14:textId="77777777" w:rsidR="00A15598" w:rsidRDefault="00A15598" w:rsidP="00A15598">
      <w:pPr>
        <w:rPr>
          <w:rFonts w:cstheme="minorHAnsi"/>
          <w:b/>
          <w:sz w:val="24"/>
          <w:szCs w:val="24"/>
        </w:rPr>
      </w:pPr>
    </w:p>
    <w:p w14:paraId="34321E7A" w14:textId="37A5D1C3" w:rsidR="00344381" w:rsidRPr="00A15598" w:rsidRDefault="00344381" w:rsidP="00A15598">
      <w:pPr>
        <w:jc w:val="center"/>
        <w:rPr>
          <w:rFonts w:cstheme="minorHAnsi"/>
          <w:b/>
          <w:sz w:val="24"/>
          <w:szCs w:val="24"/>
        </w:rPr>
      </w:pPr>
      <w:r w:rsidRPr="00A15598">
        <w:rPr>
          <w:rFonts w:cstheme="minorHAnsi"/>
          <w:b/>
          <w:sz w:val="24"/>
          <w:szCs w:val="24"/>
        </w:rPr>
        <w:lastRenderedPageBreak/>
        <w:t xml:space="preserve">INFORME DE PONENCIA PARA </w:t>
      </w:r>
      <w:r w:rsidR="00441599" w:rsidRPr="00A15598">
        <w:rPr>
          <w:rFonts w:cstheme="minorHAnsi"/>
          <w:b/>
          <w:sz w:val="24"/>
          <w:szCs w:val="24"/>
        </w:rPr>
        <w:t xml:space="preserve">PRIMER </w:t>
      </w:r>
      <w:r w:rsidRPr="00A15598">
        <w:rPr>
          <w:rFonts w:cstheme="minorHAnsi"/>
          <w:b/>
          <w:sz w:val="24"/>
          <w:szCs w:val="24"/>
        </w:rPr>
        <w:t xml:space="preserve">DEBATE AL </w:t>
      </w:r>
      <w:r w:rsidR="00441599" w:rsidRPr="00A15598">
        <w:rPr>
          <w:rFonts w:eastAsia="Times New Roman" w:cstheme="minorHAnsi"/>
          <w:b/>
          <w:sz w:val="24"/>
          <w:szCs w:val="24"/>
          <w:lang w:val="es-ES_tradnl" w:eastAsia="es-ES_tradnl"/>
        </w:rPr>
        <w:t>PROYECTO DE LEY 348 DE 2024 CÁMARA- 105 DE 2022 SENADO</w:t>
      </w:r>
      <w:r w:rsidR="00441599" w:rsidRPr="00A15598">
        <w:rPr>
          <w:rFonts w:eastAsia="Times New Roman" w:cstheme="minorHAnsi"/>
          <w:sz w:val="24"/>
          <w:szCs w:val="24"/>
          <w:lang w:val="es-ES_tradnl" w:eastAsia="es-ES_tradnl"/>
        </w:rPr>
        <w:t xml:space="preserve">: </w:t>
      </w:r>
      <w:r w:rsidR="00441599" w:rsidRPr="00A15598">
        <w:rPr>
          <w:rFonts w:eastAsia="Times New Roman" w:cstheme="minorHAnsi"/>
          <w:bCs/>
          <w:i/>
          <w:sz w:val="24"/>
          <w:szCs w:val="24"/>
          <w:lang w:val="es-ES_tradnl" w:eastAsia="es-ES_tradnl"/>
        </w:rPr>
        <w:t>“</w:t>
      </w:r>
      <w:r w:rsidR="00441599" w:rsidRPr="00A15598">
        <w:rPr>
          <w:rFonts w:cstheme="minorHAnsi"/>
          <w:i/>
          <w:sz w:val="24"/>
          <w:szCs w:val="24"/>
        </w:rPr>
        <w:t>Por medio de la cual se establecen los cargos, oficios o profesiones susceptibles de aplicación de la inhabilidad por delitos sexuales contra menores y se dictan otras disposiciones. “ENTORNOS SEGUROS”</w:t>
      </w:r>
    </w:p>
    <w:p w14:paraId="01C7F0F0" w14:textId="77777777" w:rsidR="00344381" w:rsidRPr="00A15598" w:rsidRDefault="00344381" w:rsidP="00344381">
      <w:pPr>
        <w:pStyle w:val="Prrafodelista"/>
        <w:numPr>
          <w:ilvl w:val="0"/>
          <w:numId w:val="1"/>
        </w:numPr>
        <w:spacing w:after="160" w:line="259" w:lineRule="auto"/>
        <w:jc w:val="both"/>
        <w:rPr>
          <w:rFonts w:eastAsia="Calibri" w:cstheme="minorHAnsi"/>
          <w:b/>
          <w:sz w:val="24"/>
          <w:szCs w:val="24"/>
          <w:lang w:val="es-CO"/>
        </w:rPr>
      </w:pPr>
      <w:r w:rsidRPr="00A15598">
        <w:rPr>
          <w:rFonts w:eastAsia="Calibri" w:cstheme="minorHAnsi"/>
          <w:b/>
          <w:sz w:val="24"/>
          <w:szCs w:val="24"/>
          <w:lang w:val="es-CO"/>
        </w:rPr>
        <w:t xml:space="preserve">OBJETO DEL PROYECTO </w:t>
      </w:r>
    </w:p>
    <w:p w14:paraId="6E72C6A8" w14:textId="77777777" w:rsidR="00344381" w:rsidRPr="00A15598" w:rsidRDefault="00344381" w:rsidP="00344381">
      <w:pPr>
        <w:spacing w:after="160" w:line="259" w:lineRule="auto"/>
        <w:jc w:val="both"/>
        <w:rPr>
          <w:rFonts w:cstheme="minorHAnsi"/>
          <w:sz w:val="24"/>
          <w:szCs w:val="24"/>
        </w:rPr>
      </w:pPr>
      <w:r w:rsidRPr="00A15598">
        <w:rPr>
          <w:rFonts w:cstheme="minorHAnsi"/>
          <w:sz w:val="24"/>
          <w:szCs w:val="24"/>
        </w:rPr>
        <w:t>La presente iniciativa tiene por objeto establecer los cargos, oficios o profesiones susceptibles de aplicación de la inhabilidad por delitos sexuales contra menores en los términos de la Ley 1918 de 2019, en consonancia con el pronunciamiento de la Corte Constitucional en sentencia C- 040 de 2020 que determinó que el competente para definir “</w:t>
      </w:r>
      <w:r w:rsidRPr="00A15598">
        <w:rPr>
          <w:rFonts w:cstheme="minorHAnsi"/>
          <w:i/>
          <w:sz w:val="24"/>
          <w:szCs w:val="24"/>
        </w:rPr>
        <w:t>aquellos cargos, oficios o profesiones que teniendo una relación directa y habitual con menores de edad son susceptibles de aplicación de la inhabilidad por delitos sexuales cometidos contra menores</w:t>
      </w:r>
      <w:r w:rsidRPr="00A15598">
        <w:rPr>
          <w:rFonts w:cstheme="minorHAnsi"/>
          <w:sz w:val="24"/>
          <w:szCs w:val="24"/>
        </w:rPr>
        <w:t>” es el Congreso de la República, y no el Instituto Colombiano de Bienestar Familiar, ICBF.</w:t>
      </w:r>
    </w:p>
    <w:p w14:paraId="443BFFF6" w14:textId="77777777" w:rsidR="00344381" w:rsidRPr="00A15598" w:rsidRDefault="00344381" w:rsidP="00344381">
      <w:pPr>
        <w:pStyle w:val="Prrafodelista"/>
        <w:numPr>
          <w:ilvl w:val="0"/>
          <w:numId w:val="1"/>
        </w:numPr>
        <w:jc w:val="both"/>
        <w:rPr>
          <w:rFonts w:cstheme="minorHAnsi"/>
          <w:b/>
          <w:bCs/>
          <w:sz w:val="24"/>
          <w:szCs w:val="24"/>
          <w:lang w:val="es-CO"/>
        </w:rPr>
      </w:pPr>
      <w:r w:rsidRPr="00A15598">
        <w:rPr>
          <w:rFonts w:cstheme="minorHAnsi"/>
          <w:b/>
          <w:bCs/>
          <w:sz w:val="24"/>
          <w:szCs w:val="24"/>
          <w:lang w:val="es-CO"/>
        </w:rPr>
        <w:t xml:space="preserve">TRAMITE DEL PROYECTO </w:t>
      </w:r>
    </w:p>
    <w:p w14:paraId="4CD7648C" w14:textId="77777777" w:rsidR="00441599" w:rsidRPr="00A15598" w:rsidRDefault="00344381" w:rsidP="00344381">
      <w:pPr>
        <w:jc w:val="both"/>
        <w:rPr>
          <w:rFonts w:cstheme="minorHAnsi"/>
          <w:sz w:val="24"/>
          <w:szCs w:val="24"/>
        </w:rPr>
      </w:pPr>
      <w:r w:rsidRPr="00A15598">
        <w:rPr>
          <w:rFonts w:cstheme="minorHAnsi"/>
          <w:sz w:val="24"/>
          <w:szCs w:val="24"/>
        </w:rPr>
        <w:t xml:space="preserve">El presente proyecto de ley fue radicado por los Senadores Nadya Blel Scaff, Juan Samy Merheg Marun, </w:t>
      </w:r>
      <w:r w:rsidR="00441599" w:rsidRPr="00A15598">
        <w:rPr>
          <w:rFonts w:cstheme="minorHAnsi"/>
          <w:sz w:val="24"/>
          <w:szCs w:val="24"/>
        </w:rPr>
        <w:t>Efraín</w:t>
      </w:r>
      <w:r w:rsidRPr="00A15598">
        <w:rPr>
          <w:rFonts w:cstheme="minorHAnsi"/>
          <w:sz w:val="24"/>
          <w:szCs w:val="24"/>
        </w:rPr>
        <w:t xml:space="preserve"> Cepeda Sarabia y los Representantes Juliana Aray Franco, Jorge Alexander Quevedo Herrera, el 5 de agosto de 2022, publicado en la Gaceta 900 de 2022. </w:t>
      </w:r>
    </w:p>
    <w:p w14:paraId="7E392313" w14:textId="77777777" w:rsidR="002B60D6" w:rsidRPr="00A15598" w:rsidRDefault="00AC7323" w:rsidP="00344381">
      <w:pPr>
        <w:jc w:val="both"/>
        <w:rPr>
          <w:rFonts w:cstheme="minorHAnsi"/>
          <w:sz w:val="24"/>
          <w:szCs w:val="24"/>
        </w:rPr>
      </w:pPr>
      <w:r w:rsidRPr="00A15598">
        <w:rPr>
          <w:rFonts w:cstheme="minorHAnsi"/>
          <w:sz w:val="24"/>
          <w:szCs w:val="24"/>
        </w:rPr>
        <w:t xml:space="preserve">La ponencia para primer debate se publicó en la Gaceta 1270 de 2022 y fue aprobado en Comisión Primera el 17 de mayo de 2023. </w:t>
      </w:r>
      <w:r w:rsidR="002B60D6" w:rsidRPr="00A15598">
        <w:rPr>
          <w:rFonts w:cstheme="minorHAnsi"/>
          <w:sz w:val="24"/>
          <w:szCs w:val="24"/>
          <w:lang w:val="es-ES"/>
        </w:rPr>
        <w:t xml:space="preserve">Así mismo, presentada ponencia positiva de segundo debate </w:t>
      </w:r>
      <w:r w:rsidR="00441599" w:rsidRPr="00A15598">
        <w:rPr>
          <w:rFonts w:cstheme="minorHAnsi"/>
          <w:sz w:val="24"/>
          <w:szCs w:val="24"/>
        </w:rPr>
        <w:t xml:space="preserve">fue aprobado en Sesión Plenaria de Senado </w:t>
      </w:r>
      <w:r w:rsidR="002561E4" w:rsidRPr="00A15598">
        <w:rPr>
          <w:rFonts w:cstheme="minorHAnsi"/>
          <w:sz w:val="24"/>
          <w:szCs w:val="24"/>
        </w:rPr>
        <w:t xml:space="preserve">del día 04 de diciembre de 2023 tal como consta en la Gaceta 08 de 2024. </w:t>
      </w:r>
    </w:p>
    <w:p w14:paraId="71039665" w14:textId="1B3B10AE" w:rsidR="002B60D6" w:rsidRPr="00A15598" w:rsidRDefault="002B60D6" w:rsidP="002B60D6">
      <w:pPr>
        <w:jc w:val="both"/>
        <w:rPr>
          <w:rFonts w:cstheme="minorHAnsi"/>
          <w:sz w:val="24"/>
          <w:szCs w:val="24"/>
          <w:lang w:val="es-ES"/>
        </w:rPr>
      </w:pPr>
      <w:r w:rsidRPr="00A15598">
        <w:rPr>
          <w:rFonts w:cstheme="minorHAnsi"/>
          <w:sz w:val="24"/>
          <w:szCs w:val="24"/>
          <w:lang w:val="es-ES"/>
        </w:rPr>
        <w:t xml:space="preserve">Una vez surtidos los debates en Senado de la República, en continuidad del trámite legislativo, conforme a lo dispuesto en la Ley 5ª de 1992 hace tránsito a la Comisión Séptima de Cámara de Representantes, </w:t>
      </w:r>
      <w:r w:rsidRPr="00906CF5">
        <w:rPr>
          <w:rFonts w:cstheme="minorHAnsi"/>
          <w:sz w:val="24"/>
          <w:szCs w:val="24"/>
          <w:lang w:val="es-ES"/>
        </w:rPr>
        <w:t>asignando mediante oficio</w:t>
      </w:r>
      <w:r w:rsidR="00906CF5">
        <w:rPr>
          <w:rFonts w:cstheme="minorHAnsi"/>
          <w:sz w:val="24"/>
          <w:szCs w:val="24"/>
          <w:lang w:val="es-ES"/>
        </w:rPr>
        <w:t xml:space="preserve"> bajo el radicado 0800-2024 del 5 de marzo de 2024,</w:t>
      </w:r>
      <w:r w:rsidRPr="00A15598">
        <w:rPr>
          <w:rFonts w:cstheme="minorHAnsi"/>
          <w:sz w:val="24"/>
          <w:szCs w:val="24"/>
          <w:lang w:val="es-ES"/>
        </w:rPr>
        <w:t xml:space="preserve"> a la H.R Ruth Amelia Caicedo Rosero. </w:t>
      </w:r>
    </w:p>
    <w:p w14:paraId="31ADA2B1" w14:textId="77777777" w:rsidR="00344381" w:rsidRPr="00A15598" w:rsidRDefault="00344381" w:rsidP="00344381">
      <w:pPr>
        <w:pStyle w:val="Prrafodelista"/>
        <w:numPr>
          <w:ilvl w:val="0"/>
          <w:numId w:val="1"/>
        </w:numPr>
        <w:jc w:val="both"/>
        <w:rPr>
          <w:rFonts w:cstheme="minorHAnsi"/>
          <w:b/>
          <w:sz w:val="24"/>
          <w:szCs w:val="24"/>
        </w:rPr>
      </w:pPr>
      <w:r w:rsidRPr="00A15598">
        <w:rPr>
          <w:rFonts w:cstheme="minorHAnsi"/>
          <w:b/>
          <w:sz w:val="24"/>
          <w:szCs w:val="24"/>
        </w:rPr>
        <w:t>ANTECEDENTES DE LA INICIATIVA</w:t>
      </w:r>
    </w:p>
    <w:p w14:paraId="6D473FD5" w14:textId="77777777" w:rsidR="00344381" w:rsidRPr="00A15598" w:rsidRDefault="00344381" w:rsidP="00344381">
      <w:pPr>
        <w:jc w:val="both"/>
        <w:rPr>
          <w:rFonts w:cstheme="minorHAnsi"/>
          <w:sz w:val="24"/>
          <w:szCs w:val="24"/>
        </w:rPr>
      </w:pPr>
      <w:r w:rsidRPr="00A15598">
        <w:rPr>
          <w:rFonts w:cstheme="minorHAnsi"/>
          <w:sz w:val="24"/>
          <w:szCs w:val="24"/>
          <w:lang w:val="es-ES"/>
        </w:rPr>
        <w:t xml:space="preserve">En el </w:t>
      </w:r>
      <w:r w:rsidRPr="00A15598">
        <w:rPr>
          <w:rFonts w:cstheme="minorHAnsi"/>
          <w:sz w:val="24"/>
          <w:szCs w:val="24"/>
        </w:rPr>
        <w:t xml:space="preserve">año 2016 fue promovido en el Congreso de la República la iniciativa “Por medio del cual se establece el régimen de inhabilidades a quienes hayan sido condenados por delitos sexuales contra menores, se crea el registro de inhabilidades y se dictan otras disposiciones” que posteriormente fue sancionada mediante la Ley 1918 de 2018 y reglamentada por parte del Gobierno Nacional, con el apoyo del Instituto Colombiano de Bienestar Familiar –ICBF, mediante Decreto 753 de 2019. </w:t>
      </w:r>
    </w:p>
    <w:p w14:paraId="6168BEEB" w14:textId="77777777" w:rsidR="00344381" w:rsidRPr="00A15598" w:rsidRDefault="00344381" w:rsidP="00344381">
      <w:pPr>
        <w:jc w:val="both"/>
        <w:rPr>
          <w:rFonts w:cstheme="minorHAnsi"/>
          <w:sz w:val="24"/>
          <w:szCs w:val="24"/>
        </w:rPr>
      </w:pPr>
      <w:r w:rsidRPr="00A15598">
        <w:rPr>
          <w:rFonts w:cstheme="minorHAnsi"/>
          <w:sz w:val="24"/>
          <w:szCs w:val="24"/>
        </w:rPr>
        <w:t xml:space="preserve">El proyecto de ley surgió de los diferentes actos de violencia sexual a los que son sometidos los menores de edad. La autora señaló las preocupantes cifras que se presentan, cada hora </w:t>
      </w:r>
      <w:r w:rsidRPr="00A15598">
        <w:rPr>
          <w:rFonts w:cstheme="minorHAnsi"/>
          <w:sz w:val="24"/>
          <w:szCs w:val="24"/>
        </w:rPr>
        <w:lastRenderedPageBreak/>
        <w:t>dos niños o niñas son agredidos sexualmente. El contenido de la iniciativa corresponde a lo siguiente:</w:t>
      </w:r>
    </w:p>
    <w:p w14:paraId="0A7136FC" w14:textId="77777777" w:rsidR="00344381" w:rsidRPr="00A15598" w:rsidRDefault="00344381" w:rsidP="00344381">
      <w:pPr>
        <w:pStyle w:val="Prrafodelista"/>
        <w:numPr>
          <w:ilvl w:val="0"/>
          <w:numId w:val="6"/>
        </w:numPr>
        <w:jc w:val="both"/>
        <w:rPr>
          <w:rFonts w:cstheme="minorHAnsi"/>
          <w:sz w:val="24"/>
          <w:szCs w:val="24"/>
        </w:rPr>
      </w:pPr>
      <w:r w:rsidRPr="00A15598">
        <w:rPr>
          <w:rFonts w:cstheme="minorHAnsi"/>
          <w:sz w:val="24"/>
          <w:szCs w:val="24"/>
        </w:rPr>
        <w:t xml:space="preserve">Un régimen de inhabilidades para quienes han sido condenados por delitos sexuales contra menores, quienes no podrán desempeñar cargos, oficios o profesiones que involucren una relación directa y habitual. </w:t>
      </w:r>
    </w:p>
    <w:p w14:paraId="34570D75" w14:textId="77777777" w:rsidR="00344381" w:rsidRPr="00A15598" w:rsidRDefault="00344381" w:rsidP="00344381">
      <w:pPr>
        <w:pStyle w:val="Prrafodelista"/>
        <w:numPr>
          <w:ilvl w:val="0"/>
          <w:numId w:val="6"/>
        </w:numPr>
        <w:jc w:val="both"/>
        <w:rPr>
          <w:rFonts w:cstheme="minorHAnsi"/>
          <w:sz w:val="24"/>
          <w:szCs w:val="24"/>
        </w:rPr>
      </w:pPr>
      <w:r w:rsidRPr="00A15598">
        <w:rPr>
          <w:rFonts w:cstheme="minorHAnsi"/>
          <w:sz w:val="24"/>
          <w:szCs w:val="24"/>
        </w:rPr>
        <w:t xml:space="preserve">Crea el registro de inhabilidades por delitos sexuales. Una sección especial del certificado de antecedentes judiciales de carácter reservado que contendrá la inhabilidad para ejercer cargo, profesión u oficio que implique relación directa y habitual con menores de edad. </w:t>
      </w:r>
    </w:p>
    <w:p w14:paraId="0AAC05EB" w14:textId="77777777" w:rsidR="00344381" w:rsidRPr="00A15598" w:rsidRDefault="00344381" w:rsidP="00344381">
      <w:pPr>
        <w:pStyle w:val="Prrafodelista"/>
        <w:numPr>
          <w:ilvl w:val="0"/>
          <w:numId w:val="6"/>
        </w:numPr>
        <w:jc w:val="both"/>
        <w:rPr>
          <w:rFonts w:cstheme="minorHAnsi"/>
          <w:sz w:val="24"/>
          <w:szCs w:val="24"/>
        </w:rPr>
      </w:pPr>
      <w:r w:rsidRPr="00A15598">
        <w:rPr>
          <w:rFonts w:cstheme="minorHAnsi"/>
          <w:sz w:val="24"/>
          <w:szCs w:val="24"/>
        </w:rPr>
        <w:t xml:space="preserve">Certificado de inhabilidad por delitos sexuales cometidos contra menores, expedido a solicitud de las entidades públicas o privadas obligadas previa y expresamente autorizadas por el Instituto Colombiano de Bienestar Familiar. </w:t>
      </w:r>
    </w:p>
    <w:p w14:paraId="046BB5A2" w14:textId="77777777" w:rsidR="00344381" w:rsidRPr="00A15598" w:rsidRDefault="00344381" w:rsidP="00344381">
      <w:pPr>
        <w:pStyle w:val="Prrafodelista"/>
        <w:numPr>
          <w:ilvl w:val="0"/>
          <w:numId w:val="6"/>
        </w:numPr>
        <w:jc w:val="both"/>
        <w:rPr>
          <w:rFonts w:cstheme="minorHAnsi"/>
          <w:sz w:val="24"/>
          <w:szCs w:val="24"/>
        </w:rPr>
      </w:pPr>
      <w:r w:rsidRPr="00A15598">
        <w:rPr>
          <w:rFonts w:cstheme="minorHAnsi"/>
          <w:sz w:val="24"/>
          <w:szCs w:val="24"/>
        </w:rPr>
        <w:t xml:space="preserve">Verificación del registro de inhabilidades en el desarrollo de los procesos de selección de personal para el desempeño de cargos, oficios, profesiones que involucren una relación directa y habitual con menores por parte de las entidades públicas o privadas que defina el decreto reglamentario. </w:t>
      </w:r>
    </w:p>
    <w:p w14:paraId="3323B03D" w14:textId="77777777" w:rsidR="00344381" w:rsidRPr="00A15598" w:rsidRDefault="00344381" w:rsidP="00344381">
      <w:pPr>
        <w:jc w:val="both"/>
        <w:rPr>
          <w:rFonts w:cstheme="minorHAnsi"/>
          <w:sz w:val="24"/>
          <w:szCs w:val="24"/>
        </w:rPr>
      </w:pPr>
      <w:r w:rsidRPr="00A15598">
        <w:rPr>
          <w:rFonts w:cstheme="minorHAnsi"/>
          <w:sz w:val="24"/>
          <w:szCs w:val="24"/>
        </w:rPr>
        <w:t>A la Ley 1918 de 2019, le fue  interpuesta demanda de inconstitucionalidad, que dio lugar al pronunciamiento de la Honorable Corte Constitucional, mediante la Sentencia C- 407 de 2020</w:t>
      </w:r>
      <w:r w:rsidRPr="00A15598">
        <w:rPr>
          <w:rStyle w:val="Refdenotaalpie"/>
          <w:rFonts w:cstheme="minorHAnsi"/>
          <w:sz w:val="24"/>
          <w:szCs w:val="24"/>
        </w:rPr>
        <w:footnoteReference w:id="1"/>
      </w:r>
      <w:r w:rsidRPr="00A15598">
        <w:rPr>
          <w:rFonts w:cstheme="minorHAnsi"/>
          <w:sz w:val="24"/>
          <w:szCs w:val="24"/>
        </w:rPr>
        <w:t>, en el cual se  preguntó si la inhabilidad contenida en el artículo 219-C del Código Penal -que dispone como pena o consecuencia jurídica de un delito, la inhabilitación de quienes hayan sido condenados por la comisión de delitos contra la libertad, integridad y formación sexuales de persona menor de 18 años, a efecto de ocluir el desempeño de cargos, oficios, o profesiones que involucren una relación directa y habitual con menores de edad en los términos que establezca el Instituto Colombiano de Bienestar Familiar- desconoce la dignidad humana pues: i) constituye una pena cruel e inhumana (artículo 12 Constitución Política), ii) vulnera el derecho a la intimidad y al buen nombre (artículo 15 C.Pol.), iii) desconoce la prohibición constitucional de penas imprescriptibles (artículo 28 C.Pol.) y iv) afecta el debido proceso (artículo 29 C.Pol.).</w:t>
      </w:r>
    </w:p>
    <w:p w14:paraId="7B2CEA53" w14:textId="77777777" w:rsidR="00344381" w:rsidRPr="00A15598" w:rsidRDefault="00344381" w:rsidP="00344381">
      <w:pPr>
        <w:jc w:val="both"/>
        <w:rPr>
          <w:rFonts w:cstheme="minorHAnsi"/>
          <w:sz w:val="24"/>
          <w:szCs w:val="24"/>
        </w:rPr>
      </w:pPr>
      <w:r w:rsidRPr="00A15598">
        <w:rPr>
          <w:rFonts w:cstheme="minorHAnsi"/>
          <w:sz w:val="24"/>
          <w:szCs w:val="24"/>
        </w:rPr>
        <w:t xml:space="preserve"> Ante estos cuestionamientos, la Sala Plena señaló que, la inhabilidad en sí misma, con un límite temporal determinado no se constituye en una medida inconstitucional por lo que declaró la exequibilidad de la disposición en estudio (art. 1° Ley 1918 de 2018), en el entendido que la duración de la pena accesoria referida en la mencionada disposición, deberá sujetarse a los límites temporales que para dichas penas establezca el Código Penal.  </w:t>
      </w:r>
    </w:p>
    <w:p w14:paraId="05266E03" w14:textId="77777777" w:rsidR="00344381" w:rsidRPr="00A15598" w:rsidRDefault="00344381" w:rsidP="00344381">
      <w:pPr>
        <w:jc w:val="both"/>
        <w:rPr>
          <w:rFonts w:cstheme="minorHAnsi"/>
          <w:sz w:val="24"/>
          <w:szCs w:val="24"/>
        </w:rPr>
      </w:pPr>
      <w:r w:rsidRPr="00A15598">
        <w:rPr>
          <w:rFonts w:cstheme="minorHAnsi"/>
          <w:sz w:val="24"/>
          <w:szCs w:val="24"/>
        </w:rPr>
        <w:lastRenderedPageBreak/>
        <w:t>Así mismo señalo que, “</w:t>
      </w:r>
      <w:r w:rsidRPr="00A15598">
        <w:rPr>
          <w:rFonts w:cstheme="minorHAnsi"/>
          <w:i/>
          <w:sz w:val="24"/>
          <w:szCs w:val="24"/>
          <w:lang w:eastAsia="es-CO"/>
        </w:rPr>
        <w:t>la competencia otorgada por el artículo 1° de la Ley 1918 de 2018 al Instituto Colombiano de Bienestar Familiar, tal y como señalaron los demandantes, desconoce el principio de legalidad (artículo 29 C.Pol), pues la competencia para “definir aquellos cargos, oficios o profesiones que teniendo una relación directa y habitual con menores de edad son susceptibles de aplicación de la inhabilidad por delitos sexuales cometidos contra menores” no puede ser ejercida por el ICBF sino por el Congreso de la República.”</w:t>
      </w:r>
      <w:r w:rsidRPr="00A15598">
        <w:rPr>
          <w:rFonts w:cstheme="minorHAnsi"/>
          <w:i/>
          <w:sz w:val="24"/>
          <w:szCs w:val="24"/>
        </w:rPr>
        <w:t xml:space="preserve"> Declaró la inexequibilidad del</w:t>
      </w:r>
      <w:r w:rsidRPr="00A15598">
        <w:rPr>
          <w:rFonts w:cstheme="minorHAnsi"/>
          <w:sz w:val="24"/>
          <w:szCs w:val="24"/>
        </w:rPr>
        <w:t xml:space="preserve"> artículo 2° </w:t>
      </w:r>
      <w:proofErr w:type="gramStart"/>
      <w:r w:rsidRPr="00A15598">
        <w:rPr>
          <w:rFonts w:cstheme="minorHAnsi"/>
          <w:sz w:val="24"/>
          <w:szCs w:val="24"/>
        </w:rPr>
        <w:t>y  la</w:t>
      </w:r>
      <w:proofErr w:type="gramEnd"/>
      <w:r w:rsidRPr="00A15598">
        <w:rPr>
          <w:rFonts w:cstheme="minorHAnsi"/>
          <w:sz w:val="24"/>
          <w:szCs w:val="24"/>
        </w:rPr>
        <w:t xml:space="preserve"> expresión contenida en el artículo 4 “por el Instituto Colombiano de Bienestar Familiar”</w:t>
      </w:r>
      <w:r w:rsidRPr="00A15598">
        <w:rPr>
          <w:rStyle w:val="Refdenotaalpie"/>
          <w:rFonts w:cstheme="minorHAnsi"/>
          <w:sz w:val="24"/>
          <w:szCs w:val="24"/>
        </w:rPr>
        <w:footnoteReference w:id="2"/>
      </w:r>
      <w:r w:rsidRPr="00A15598">
        <w:rPr>
          <w:rFonts w:cstheme="minorHAnsi"/>
          <w:sz w:val="24"/>
          <w:szCs w:val="24"/>
        </w:rPr>
        <w:t>.</w:t>
      </w:r>
    </w:p>
    <w:p w14:paraId="2E57264F" w14:textId="77777777" w:rsidR="00344381" w:rsidRPr="00A15598" w:rsidRDefault="00344381" w:rsidP="00344381">
      <w:pPr>
        <w:pStyle w:val="Prrafodelista"/>
        <w:numPr>
          <w:ilvl w:val="0"/>
          <w:numId w:val="1"/>
        </w:numPr>
        <w:jc w:val="both"/>
        <w:rPr>
          <w:rFonts w:cstheme="minorHAnsi"/>
          <w:b/>
          <w:i/>
          <w:sz w:val="24"/>
          <w:szCs w:val="24"/>
        </w:rPr>
      </w:pPr>
      <w:r w:rsidRPr="00A15598">
        <w:rPr>
          <w:rFonts w:cstheme="minorHAnsi"/>
          <w:b/>
          <w:sz w:val="24"/>
          <w:szCs w:val="24"/>
        </w:rPr>
        <w:t xml:space="preserve">JUSTIFICACION DE LA INICIATIVA </w:t>
      </w:r>
    </w:p>
    <w:p w14:paraId="60656789" w14:textId="77777777" w:rsidR="00344381" w:rsidRPr="00A15598" w:rsidRDefault="00344381" w:rsidP="00344381">
      <w:pPr>
        <w:jc w:val="both"/>
        <w:rPr>
          <w:rFonts w:cstheme="minorHAnsi"/>
          <w:sz w:val="24"/>
          <w:szCs w:val="24"/>
          <w:lang w:eastAsia="es-CO"/>
        </w:rPr>
      </w:pPr>
      <w:r w:rsidRPr="00A15598">
        <w:rPr>
          <w:rFonts w:cstheme="minorHAnsi"/>
          <w:sz w:val="24"/>
          <w:szCs w:val="24"/>
        </w:rPr>
        <w:t>De acuerdo con lo señalado por la Corte Constitucional en Sentencia C-407 de 2020, donde se establece que debe ser el Congreso de la República quien defina los cargos, oficios o profesiones sobre los cuales se aplicará la inhabilidad y que, la</w:t>
      </w:r>
      <w:r w:rsidRPr="00A15598">
        <w:rPr>
          <w:rFonts w:cstheme="minorHAnsi"/>
          <w:sz w:val="24"/>
          <w:szCs w:val="24"/>
          <w:lang w:eastAsia="es-CO"/>
        </w:rPr>
        <w:t xml:space="preserve"> imposición de los tipos y sanciones penales ostentan una reserva legislativa. Que, por lo tanto, está vedado a las autoridades administrativas definir las conductas prohibidas por vía del derecho penal. Además, señaló que </w:t>
      </w:r>
      <w:r w:rsidRPr="00A15598">
        <w:rPr>
          <w:rFonts w:cstheme="minorHAnsi"/>
          <w:sz w:val="24"/>
          <w:szCs w:val="24"/>
        </w:rPr>
        <w:t xml:space="preserve">hasta tanto no se subsane el vacío normativo, la herramienta de prevención y protección de los menores de edad carecerá de eficacia en el ordenamiento jurídico colombiano. </w:t>
      </w:r>
    </w:p>
    <w:p w14:paraId="2D41CD82" w14:textId="77777777" w:rsidR="00344381" w:rsidRPr="00A15598" w:rsidRDefault="00344381" w:rsidP="00344381">
      <w:pPr>
        <w:jc w:val="both"/>
        <w:rPr>
          <w:rFonts w:cstheme="minorHAnsi"/>
          <w:sz w:val="24"/>
          <w:szCs w:val="24"/>
        </w:rPr>
      </w:pPr>
      <w:r w:rsidRPr="00A15598">
        <w:rPr>
          <w:rFonts w:cstheme="minorHAnsi"/>
          <w:sz w:val="24"/>
          <w:szCs w:val="24"/>
        </w:rPr>
        <w:t>Para subsanar lo establecido por la Corte Constitucional en la Ley 1918 de 2018, se presentó la presente iniciativa Legislativa, la cual tiene como propósito definir los cargos, oficios o profesiones que tienen relación directa y habitual con menores de edad. Así mismo se plantean las modificaciones al artículo 51 de la ley 599 sobre las inhabilidades de las penas a que tendrá lugar por el delito cometido.</w:t>
      </w:r>
    </w:p>
    <w:p w14:paraId="523E560C" w14:textId="196E02E8" w:rsidR="00344381" w:rsidRPr="00A15598" w:rsidRDefault="00344381" w:rsidP="00344381">
      <w:pPr>
        <w:jc w:val="both"/>
        <w:rPr>
          <w:rFonts w:cstheme="minorHAnsi"/>
          <w:sz w:val="24"/>
          <w:szCs w:val="24"/>
        </w:rPr>
      </w:pPr>
      <w:r w:rsidRPr="00A15598">
        <w:rPr>
          <w:rFonts w:cstheme="minorHAnsi"/>
          <w:sz w:val="24"/>
          <w:szCs w:val="24"/>
        </w:rPr>
        <w:t xml:space="preserve">Se hace necesario señalar </w:t>
      </w:r>
      <w:r w:rsidR="007B5862" w:rsidRPr="00A15598">
        <w:rPr>
          <w:rFonts w:cstheme="minorHAnsi"/>
          <w:sz w:val="24"/>
          <w:szCs w:val="24"/>
        </w:rPr>
        <w:t>que, en Colombia</w:t>
      </w:r>
      <w:r w:rsidRPr="00A15598">
        <w:rPr>
          <w:rFonts w:cstheme="minorHAnsi"/>
          <w:sz w:val="24"/>
          <w:szCs w:val="24"/>
        </w:rPr>
        <w:t xml:space="preserve"> la violencia sexual contra los menores de edad es muy común, afecta su autoestima y genera culpa. </w:t>
      </w:r>
      <w:r w:rsidRPr="00A15598">
        <w:rPr>
          <w:rFonts w:cstheme="minorHAnsi"/>
          <w:sz w:val="24"/>
          <w:szCs w:val="24"/>
          <w:shd w:val="clear" w:color="auto" w:fill="FFFFFF"/>
        </w:rPr>
        <w:t>Estos crímenes se presentan en el entorno familiar, en los escenarios comunitarios y educativos, así como en el marco de</w:t>
      </w:r>
      <w:r w:rsidR="00602F99" w:rsidRPr="00A15598">
        <w:rPr>
          <w:rFonts w:cstheme="minorHAnsi"/>
          <w:sz w:val="24"/>
          <w:szCs w:val="24"/>
          <w:shd w:val="clear" w:color="auto" w:fill="FFFFFF"/>
        </w:rPr>
        <w:t xml:space="preserve"> </w:t>
      </w:r>
      <w:r w:rsidRPr="00A15598">
        <w:rPr>
          <w:rFonts w:cstheme="minorHAnsi"/>
          <w:sz w:val="24"/>
          <w:szCs w:val="24"/>
          <w:shd w:val="clear" w:color="auto" w:fill="FFFFFF"/>
        </w:rPr>
        <w:t>situaciones de violencia generalizada.</w:t>
      </w:r>
      <w:r w:rsidRPr="00A15598">
        <w:rPr>
          <w:rStyle w:val="Refdenotaalpie"/>
          <w:rFonts w:cstheme="minorHAnsi"/>
          <w:sz w:val="24"/>
          <w:szCs w:val="24"/>
          <w:shd w:val="clear" w:color="auto" w:fill="FFFFFF"/>
        </w:rPr>
        <w:footnoteReference w:id="3"/>
      </w:r>
      <w:r w:rsidRPr="00A15598">
        <w:rPr>
          <w:rFonts w:cstheme="minorHAnsi"/>
          <w:sz w:val="24"/>
          <w:szCs w:val="24"/>
          <w:shd w:val="clear" w:color="auto" w:fill="FFFFFF"/>
        </w:rPr>
        <w:t xml:space="preserve"> </w:t>
      </w:r>
      <w:r w:rsidRPr="00A15598">
        <w:rPr>
          <w:rFonts w:cstheme="minorHAnsi"/>
          <w:sz w:val="24"/>
          <w:szCs w:val="24"/>
        </w:rPr>
        <w:t>La violencia no solo trae consecuencias físicas sino también deja efectos psicológicos; cada hora tres niños son violentados sexualmente; para el 2018 los exámenes médicos legales sexológicos por presunto delito sexual practicados a niños, niñas y adolescentes representó el 87,45 % del total de la violencia sexual (</w:t>
      </w:r>
      <w:proofErr w:type="spellStart"/>
      <w:r w:rsidRPr="00A15598">
        <w:rPr>
          <w:rFonts w:cstheme="minorHAnsi"/>
          <w:sz w:val="24"/>
          <w:szCs w:val="24"/>
        </w:rPr>
        <w:t>Forensis</w:t>
      </w:r>
      <w:proofErr w:type="spellEnd"/>
      <w:r w:rsidRPr="00A15598">
        <w:rPr>
          <w:rFonts w:cstheme="minorHAnsi"/>
          <w:sz w:val="24"/>
          <w:szCs w:val="24"/>
        </w:rPr>
        <w:t xml:space="preserve"> 2018 INML)</w:t>
      </w:r>
      <w:r w:rsidRPr="00A15598">
        <w:rPr>
          <w:rStyle w:val="Refdenotaalpie"/>
          <w:rFonts w:cstheme="minorHAnsi"/>
          <w:sz w:val="24"/>
          <w:szCs w:val="24"/>
        </w:rPr>
        <w:footnoteReference w:id="4"/>
      </w:r>
      <w:r w:rsidRPr="00A15598">
        <w:rPr>
          <w:rFonts w:cstheme="minorHAnsi"/>
          <w:sz w:val="24"/>
          <w:szCs w:val="24"/>
        </w:rPr>
        <w:t xml:space="preserve"> , en suma, ser niño o niña en nuestro país se ha convertido en un riesgo. Este </w:t>
      </w:r>
      <w:r w:rsidRPr="00A15598">
        <w:rPr>
          <w:rFonts w:cstheme="minorHAnsi"/>
          <w:sz w:val="24"/>
          <w:szCs w:val="24"/>
        </w:rPr>
        <w:lastRenderedPageBreak/>
        <w:t xml:space="preserve">panorama exige a todas las instituciones del poder público adelantar dentro del marco de sus competencias, las transformaciones que se requieren en aras de garantizar una niñez segura. </w:t>
      </w:r>
    </w:p>
    <w:p w14:paraId="3C77DD15" w14:textId="77777777" w:rsidR="00344381" w:rsidRPr="00A15598" w:rsidRDefault="00344381" w:rsidP="00344381">
      <w:pPr>
        <w:jc w:val="both"/>
        <w:rPr>
          <w:rStyle w:val="Descripcin1"/>
          <w:rFonts w:cstheme="minorHAnsi"/>
          <w:sz w:val="24"/>
          <w:szCs w:val="24"/>
          <w:shd w:val="clear" w:color="auto" w:fill="FFFFFF"/>
        </w:rPr>
      </w:pPr>
      <w:r w:rsidRPr="00A15598">
        <w:rPr>
          <w:rFonts w:cstheme="minorHAnsi"/>
          <w:sz w:val="24"/>
          <w:szCs w:val="24"/>
          <w:shd w:val="clear" w:color="auto" w:fill="FFFFFF"/>
        </w:rPr>
        <w:t>En la tabla la No. 1 se puede evidenciar los delitos sexuales entre el</w:t>
      </w:r>
      <w:r w:rsidRPr="00A15598">
        <w:rPr>
          <w:rStyle w:val="Descripcin1"/>
          <w:rFonts w:cstheme="minorHAnsi"/>
          <w:sz w:val="24"/>
          <w:szCs w:val="24"/>
          <w:shd w:val="clear" w:color="auto" w:fill="FFFFFF"/>
        </w:rPr>
        <w:t xml:space="preserve"> 2010-2018, diferenciados por edad, de presuntas víctimas menores de 18 años, reportados en el </w:t>
      </w:r>
      <w:r w:rsidRPr="00A15598">
        <w:rPr>
          <w:rFonts w:cstheme="minorHAnsi"/>
          <w:sz w:val="24"/>
          <w:szCs w:val="24"/>
          <w:shd w:val="clear" w:color="auto" w:fill="FFFFFF"/>
        </w:rPr>
        <w:t>Sistema de Información Estadístico, Delincuencial, Contravencional y Operativo (SIEDCO) de la Policía Nacional a 2019</w:t>
      </w:r>
      <w:r w:rsidRPr="00A15598">
        <w:rPr>
          <w:rStyle w:val="Descripcin1"/>
          <w:rFonts w:cstheme="minorHAnsi"/>
          <w:sz w:val="24"/>
          <w:szCs w:val="24"/>
          <w:shd w:val="clear" w:color="auto" w:fill="FFFFFF"/>
        </w:rPr>
        <w:t>.</w:t>
      </w:r>
      <w:r w:rsidRPr="00A15598">
        <w:rPr>
          <w:rStyle w:val="Refdenotaalpie"/>
          <w:rFonts w:cstheme="minorHAnsi"/>
          <w:sz w:val="24"/>
          <w:szCs w:val="24"/>
          <w:shd w:val="clear" w:color="auto" w:fill="FFFFFF"/>
        </w:rPr>
        <w:footnoteReference w:id="5"/>
      </w:r>
    </w:p>
    <w:p w14:paraId="5D69367C" w14:textId="77777777" w:rsidR="00344381" w:rsidRPr="00A15598" w:rsidRDefault="00344381" w:rsidP="00344381">
      <w:pPr>
        <w:jc w:val="both"/>
        <w:rPr>
          <w:rFonts w:cstheme="minorHAnsi"/>
          <w:sz w:val="24"/>
          <w:szCs w:val="24"/>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24"/>
        <w:gridCol w:w="749"/>
        <w:gridCol w:w="749"/>
        <w:gridCol w:w="749"/>
        <w:gridCol w:w="749"/>
        <w:gridCol w:w="749"/>
        <w:gridCol w:w="749"/>
        <w:gridCol w:w="749"/>
        <w:gridCol w:w="749"/>
        <w:gridCol w:w="749"/>
      </w:tblGrid>
      <w:tr w:rsidR="00344381" w:rsidRPr="00A15598" w14:paraId="53C7A6CC" w14:textId="77777777" w:rsidTr="00344381">
        <w:trPr>
          <w:tblHeader/>
          <w:jc w:val="center"/>
        </w:trPr>
        <w:tc>
          <w:tcPr>
            <w:tcW w:w="0" w:type="auto"/>
            <w:tcBorders>
              <w:top w:val="single" w:sz="6" w:space="0" w:color="000000"/>
              <w:bottom w:val="single" w:sz="6" w:space="0" w:color="000000"/>
            </w:tcBorders>
            <w:shd w:val="clear" w:color="auto" w:fill="A9A9A9"/>
            <w:vAlign w:val="center"/>
            <w:hideMark/>
          </w:tcPr>
          <w:p w14:paraId="285C144E"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Edad</w:t>
            </w:r>
          </w:p>
        </w:tc>
        <w:tc>
          <w:tcPr>
            <w:tcW w:w="0" w:type="auto"/>
            <w:tcBorders>
              <w:top w:val="single" w:sz="6" w:space="0" w:color="000000"/>
              <w:bottom w:val="single" w:sz="6" w:space="0" w:color="000000"/>
            </w:tcBorders>
            <w:shd w:val="clear" w:color="auto" w:fill="A9A9A9"/>
            <w:vAlign w:val="center"/>
            <w:hideMark/>
          </w:tcPr>
          <w:p w14:paraId="6F83C555"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2010</w:t>
            </w:r>
          </w:p>
        </w:tc>
        <w:tc>
          <w:tcPr>
            <w:tcW w:w="0" w:type="auto"/>
            <w:tcBorders>
              <w:top w:val="single" w:sz="6" w:space="0" w:color="000000"/>
              <w:bottom w:val="single" w:sz="6" w:space="0" w:color="000000"/>
            </w:tcBorders>
            <w:shd w:val="clear" w:color="auto" w:fill="A9A9A9"/>
            <w:vAlign w:val="center"/>
            <w:hideMark/>
          </w:tcPr>
          <w:p w14:paraId="2D363548"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2011</w:t>
            </w:r>
          </w:p>
        </w:tc>
        <w:tc>
          <w:tcPr>
            <w:tcW w:w="0" w:type="auto"/>
            <w:tcBorders>
              <w:top w:val="single" w:sz="6" w:space="0" w:color="000000"/>
              <w:bottom w:val="single" w:sz="6" w:space="0" w:color="000000"/>
            </w:tcBorders>
            <w:shd w:val="clear" w:color="auto" w:fill="A9A9A9"/>
            <w:vAlign w:val="center"/>
            <w:hideMark/>
          </w:tcPr>
          <w:p w14:paraId="13A6D81C"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2012</w:t>
            </w:r>
          </w:p>
        </w:tc>
        <w:tc>
          <w:tcPr>
            <w:tcW w:w="0" w:type="auto"/>
            <w:tcBorders>
              <w:top w:val="single" w:sz="6" w:space="0" w:color="000000"/>
              <w:bottom w:val="single" w:sz="6" w:space="0" w:color="000000"/>
            </w:tcBorders>
            <w:shd w:val="clear" w:color="auto" w:fill="A9A9A9"/>
            <w:vAlign w:val="center"/>
            <w:hideMark/>
          </w:tcPr>
          <w:p w14:paraId="02BD728F"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2013</w:t>
            </w:r>
          </w:p>
        </w:tc>
        <w:tc>
          <w:tcPr>
            <w:tcW w:w="0" w:type="auto"/>
            <w:tcBorders>
              <w:top w:val="single" w:sz="6" w:space="0" w:color="000000"/>
              <w:bottom w:val="single" w:sz="6" w:space="0" w:color="000000"/>
            </w:tcBorders>
            <w:shd w:val="clear" w:color="auto" w:fill="A9A9A9"/>
            <w:vAlign w:val="center"/>
            <w:hideMark/>
          </w:tcPr>
          <w:p w14:paraId="38E076E5"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2014</w:t>
            </w:r>
          </w:p>
        </w:tc>
        <w:tc>
          <w:tcPr>
            <w:tcW w:w="0" w:type="auto"/>
            <w:tcBorders>
              <w:top w:val="single" w:sz="6" w:space="0" w:color="000000"/>
              <w:bottom w:val="single" w:sz="6" w:space="0" w:color="000000"/>
            </w:tcBorders>
            <w:shd w:val="clear" w:color="auto" w:fill="A9A9A9"/>
            <w:vAlign w:val="center"/>
            <w:hideMark/>
          </w:tcPr>
          <w:p w14:paraId="163E09B6"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2015</w:t>
            </w:r>
          </w:p>
        </w:tc>
        <w:tc>
          <w:tcPr>
            <w:tcW w:w="0" w:type="auto"/>
            <w:tcBorders>
              <w:top w:val="single" w:sz="6" w:space="0" w:color="000000"/>
              <w:bottom w:val="single" w:sz="6" w:space="0" w:color="000000"/>
            </w:tcBorders>
            <w:shd w:val="clear" w:color="auto" w:fill="A9A9A9"/>
            <w:vAlign w:val="center"/>
            <w:hideMark/>
          </w:tcPr>
          <w:p w14:paraId="65073F6A"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2016</w:t>
            </w:r>
          </w:p>
        </w:tc>
        <w:tc>
          <w:tcPr>
            <w:tcW w:w="0" w:type="auto"/>
            <w:tcBorders>
              <w:top w:val="single" w:sz="6" w:space="0" w:color="000000"/>
              <w:bottom w:val="single" w:sz="6" w:space="0" w:color="000000"/>
            </w:tcBorders>
            <w:shd w:val="clear" w:color="auto" w:fill="A9A9A9"/>
            <w:vAlign w:val="center"/>
            <w:hideMark/>
          </w:tcPr>
          <w:p w14:paraId="6218BD77"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2017</w:t>
            </w:r>
          </w:p>
        </w:tc>
        <w:tc>
          <w:tcPr>
            <w:tcW w:w="0" w:type="auto"/>
            <w:tcBorders>
              <w:top w:val="single" w:sz="6" w:space="0" w:color="000000"/>
              <w:bottom w:val="single" w:sz="6" w:space="0" w:color="000000"/>
            </w:tcBorders>
            <w:shd w:val="clear" w:color="auto" w:fill="A9A9A9"/>
            <w:vAlign w:val="center"/>
            <w:hideMark/>
          </w:tcPr>
          <w:p w14:paraId="6A297703"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2018</w:t>
            </w:r>
          </w:p>
        </w:tc>
      </w:tr>
      <w:tr w:rsidR="00344381" w:rsidRPr="00A15598" w14:paraId="3DFB2177" w14:textId="77777777" w:rsidTr="00344381">
        <w:trPr>
          <w:jc w:val="center"/>
        </w:trPr>
        <w:tc>
          <w:tcPr>
            <w:tcW w:w="0" w:type="auto"/>
            <w:tcBorders>
              <w:top w:val="single" w:sz="6" w:space="0" w:color="000000"/>
              <w:bottom w:val="single" w:sz="6" w:space="0" w:color="000000"/>
            </w:tcBorders>
            <w:shd w:val="clear" w:color="auto" w:fill="A9A9A9"/>
            <w:vAlign w:val="center"/>
            <w:hideMark/>
          </w:tcPr>
          <w:p w14:paraId="2D56D1DA"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0" w:name="idm661824"/>
            <w:bookmarkEnd w:id="0"/>
            <w:r w:rsidRPr="00A15598">
              <w:rPr>
                <w:rFonts w:eastAsia="Times New Roman" w:cstheme="minorHAnsi"/>
                <w:b/>
                <w:bCs/>
                <w:sz w:val="24"/>
                <w:szCs w:val="24"/>
                <w:lang w:eastAsia="es-CO"/>
              </w:rPr>
              <w:t>0</w:t>
            </w:r>
          </w:p>
        </w:tc>
        <w:tc>
          <w:tcPr>
            <w:tcW w:w="0" w:type="auto"/>
            <w:tcBorders>
              <w:top w:val="nil"/>
              <w:left w:val="nil"/>
              <w:bottom w:val="single" w:sz="6" w:space="0" w:color="000000"/>
              <w:right w:val="nil"/>
            </w:tcBorders>
            <w:shd w:val="clear" w:color="auto" w:fill="CD5C5C"/>
            <w:vAlign w:val="center"/>
            <w:hideMark/>
          </w:tcPr>
          <w:p w14:paraId="76BD67B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0,04%</w:t>
            </w:r>
          </w:p>
        </w:tc>
        <w:tc>
          <w:tcPr>
            <w:tcW w:w="0" w:type="auto"/>
            <w:tcBorders>
              <w:top w:val="nil"/>
              <w:left w:val="nil"/>
              <w:bottom w:val="single" w:sz="6" w:space="0" w:color="000000"/>
              <w:right w:val="nil"/>
            </w:tcBorders>
            <w:shd w:val="clear" w:color="auto" w:fill="CD5C5C"/>
            <w:vAlign w:val="center"/>
            <w:hideMark/>
          </w:tcPr>
          <w:p w14:paraId="5B3FE6C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0,05%</w:t>
            </w:r>
          </w:p>
        </w:tc>
        <w:tc>
          <w:tcPr>
            <w:tcW w:w="0" w:type="auto"/>
            <w:tcBorders>
              <w:top w:val="nil"/>
              <w:left w:val="nil"/>
              <w:bottom w:val="single" w:sz="6" w:space="0" w:color="000000"/>
              <w:right w:val="nil"/>
            </w:tcBorders>
            <w:shd w:val="clear" w:color="auto" w:fill="CD5C5C"/>
            <w:vAlign w:val="center"/>
            <w:hideMark/>
          </w:tcPr>
          <w:p w14:paraId="3D85A60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0,16%</w:t>
            </w:r>
          </w:p>
        </w:tc>
        <w:tc>
          <w:tcPr>
            <w:tcW w:w="0" w:type="auto"/>
            <w:tcBorders>
              <w:top w:val="nil"/>
              <w:left w:val="nil"/>
              <w:bottom w:val="single" w:sz="6" w:space="0" w:color="000000"/>
              <w:right w:val="nil"/>
            </w:tcBorders>
            <w:shd w:val="clear" w:color="auto" w:fill="CD5C5C"/>
            <w:vAlign w:val="center"/>
            <w:hideMark/>
          </w:tcPr>
          <w:p w14:paraId="4B3F41C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0,01%</w:t>
            </w:r>
          </w:p>
        </w:tc>
        <w:tc>
          <w:tcPr>
            <w:tcW w:w="0" w:type="auto"/>
            <w:tcBorders>
              <w:top w:val="nil"/>
              <w:left w:val="nil"/>
              <w:bottom w:val="single" w:sz="6" w:space="0" w:color="000000"/>
              <w:right w:val="nil"/>
            </w:tcBorders>
            <w:shd w:val="clear" w:color="auto" w:fill="CD5C5C"/>
            <w:vAlign w:val="center"/>
            <w:hideMark/>
          </w:tcPr>
          <w:p w14:paraId="54CBEE2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0,02%</w:t>
            </w:r>
          </w:p>
        </w:tc>
        <w:tc>
          <w:tcPr>
            <w:tcW w:w="0" w:type="auto"/>
            <w:tcBorders>
              <w:top w:val="nil"/>
              <w:left w:val="nil"/>
              <w:bottom w:val="single" w:sz="6" w:space="0" w:color="000000"/>
              <w:right w:val="nil"/>
            </w:tcBorders>
            <w:shd w:val="clear" w:color="auto" w:fill="CD5C5C"/>
            <w:vAlign w:val="center"/>
            <w:hideMark/>
          </w:tcPr>
          <w:p w14:paraId="2E7B124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0,24%</w:t>
            </w:r>
          </w:p>
        </w:tc>
        <w:tc>
          <w:tcPr>
            <w:tcW w:w="0" w:type="auto"/>
            <w:tcBorders>
              <w:top w:val="nil"/>
              <w:left w:val="nil"/>
              <w:bottom w:val="single" w:sz="6" w:space="0" w:color="000000"/>
              <w:right w:val="nil"/>
            </w:tcBorders>
            <w:shd w:val="clear" w:color="auto" w:fill="CD5C5C"/>
            <w:vAlign w:val="center"/>
            <w:hideMark/>
          </w:tcPr>
          <w:p w14:paraId="4277E5C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0,19%</w:t>
            </w:r>
          </w:p>
        </w:tc>
        <w:tc>
          <w:tcPr>
            <w:tcW w:w="0" w:type="auto"/>
            <w:tcBorders>
              <w:top w:val="nil"/>
              <w:left w:val="nil"/>
              <w:bottom w:val="single" w:sz="6" w:space="0" w:color="000000"/>
              <w:right w:val="nil"/>
            </w:tcBorders>
            <w:shd w:val="clear" w:color="auto" w:fill="CD5C5C"/>
            <w:vAlign w:val="center"/>
            <w:hideMark/>
          </w:tcPr>
          <w:p w14:paraId="0CB817C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0,15%</w:t>
            </w:r>
          </w:p>
        </w:tc>
        <w:tc>
          <w:tcPr>
            <w:tcW w:w="0" w:type="auto"/>
            <w:tcBorders>
              <w:top w:val="nil"/>
              <w:left w:val="nil"/>
              <w:bottom w:val="single" w:sz="6" w:space="0" w:color="000000"/>
              <w:right w:val="nil"/>
            </w:tcBorders>
            <w:shd w:val="clear" w:color="auto" w:fill="CD5C5C"/>
            <w:vAlign w:val="center"/>
            <w:hideMark/>
          </w:tcPr>
          <w:p w14:paraId="0D7433F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0,10%</w:t>
            </w:r>
          </w:p>
        </w:tc>
      </w:tr>
      <w:tr w:rsidR="00344381" w:rsidRPr="00A15598" w14:paraId="7F491B6F" w14:textId="77777777" w:rsidTr="00344381">
        <w:trPr>
          <w:jc w:val="center"/>
        </w:trPr>
        <w:tc>
          <w:tcPr>
            <w:tcW w:w="0" w:type="auto"/>
            <w:tcBorders>
              <w:top w:val="single" w:sz="6" w:space="0" w:color="000000"/>
              <w:bottom w:val="single" w:sz="6" w:space="0" w:color="000000"/>
            </w:tcBorders>
            <w:shd w:val="clear" w:color="auto" w:fill="C0C0C0"/>
            <w:vAlign w:val="center"/>
            <w:hideMark/>
          </w:tcPr>
          <w:p w14:paraId="663FA0AE"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1" w:name="idm651584"/>
            <w:bookmarkEnd w:id="1"/>
            <w:r w:rsidRPr="00A15598">
              <w:rPr>
                <w:rFonts w:eastAsia="Times New Roman" w:cstheme="minorHAnsi"/>
                <w:b/>
                <w:bCs/>
                <w:sz w:val="24"/>
                <w:szCs w:val="24"/>
                <w:lang w:eastAsia="es-CO"/>
              </w:rPr>
              <w:t>1</w:t>
            </w:r>
          </w:p>
        </w:tc>
        <w:tc>
          <w:tcPr>
            <w:tcW w:w="0" w:type="auto"/>
            <w:tcBorders>
              <w:top w:val="nil"/>
              <w:left w:val="nil"/>
              <w:bottom w:val="single" w:sz="6" w:space="0" w:color="000000"/>
              <w:right w:val="nil"/>
            </w:tcBorders>
            <w:shd w:val="clear" w:color="auto" w:fill="CD5C5C"/>
            <w:vAlign w:val="center"/>
            <w:hideMark/>
          </w:tcPr>
          <w:p w14:paraId="320413D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0,33%</w:t>
            </w:r>
          </w:p>
        </w:tc>
        <w:tc>
          <w:tcPr>
            <w:tcW w:w="0" w:type="auto"/>
            <w:tcBorders>
              <w:top w:val="nil"/>
              <w:left w:val="nil"/>
              <w:bottom w:val="single" w:sz="6" w:space="0" w:color="000000"/>
              <w:right w:val="nil"/>
            </w:tcBorders>
            <w:shd w:val="clear" w:color="auto" w:fill="CD5C5C"/>
            <w:vAlign w:val="center"/>
            <w:hideMark/>
          </w:tcPr>
          <w:p w14:paraId="617B11A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0,30%</w:t>
            </w:r>
          </w:p>
        </w:tc>
        <w:tc>
          <w:tcPr>
            <w:tcW w:w="0" w:type="auto"/>
            <w:tcBorders>
              <w:top w:val="nil"/>
              <w:left w:val="nil"/>
              <w:bottom w:val="single" w:sz="6" w:space="0" w:color="000000"/>
              <w:right w:val="nil"/>
            </w:tcBorders>
            <w:shd w:val="clear" w:color="auto" w:fill="CD5C5C"/>
            <w:vAlign w:val="center"/>
            <w:hideMark/>
          </w:tcPr>
          <w:p w14:paraId="4960092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0,38%</w:t>
            </w:r>
          </w:p>
        </w:tc>
        <w:tc>
          <w:tcPr>
            <w:tcW w:w="0" w:type="auto"/>
            <w:tcBorders>
              <w:top w:val="nil"/>
              <w:left w:val="nil"/>
              <w:bottom w:val="single" w:sz="6" w:space="0" w:color="000000"/>
              <w:right w:val="nil"/>
            </w:tcBorders>
            <w:shd w:val="clear" w:color="auto" w:fill="CD5C5C"/>
            <w:vAlign w:val="center"/>
            <w:hideMark/>
          </w:tcPr>
          <w:p w14:paraId="044B274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0,57%</w:t>
            </w:r>
          </w:p>
        </w:tc>
        <w:tc>
          <w:tcPr>
            <w:tcW w:w="0" w:type="auto"/>
            <w:tcBorders>
              <w:top w:val="nil"/>
              <w:left w:val="nil"/>
              <w:bottom w:val="single" w:sz="6" w:space="0" w:color="000000"/>
              <w:right w:val="nil"/>
            </w:tcBorders>
            <w:shd w:val="clear" w:color="auto" w:fill="CD5C5C"/>
            <w:vAlign w:val="center"/>
            <w:hideMark/>
          </w:tcPr>
          <w:p w14:paraId="522FBFE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0,44%</w:t>
            </w:r>
          </w:p>
        </w:tc>
        <w:tc>
          <w:tcPr>
            <w:tcW w:w="0" w:type="auto"/>
            <w:tcBorders>
              <w:top w:val="nil"/>
              <w:left w:val="nil"/>
              <w:bottom w:val="single" w:sz="6" w:space="0" w:color="000000"/>
              <w:right w:val="nil"/>
            </w:tcBorders>
            <w:shd w:val="clear" w:color="auto" w:fill="CD5C5C"/>
            <w:vAlign w:val="center"/>
            <w:hideMark/>
          </w:tcPr>
          <w:p w14:paraId="0CE15E8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0,70%</w:t>
            </w:r>
          </w:p>
        </w:tc>
        <w:tc>
          <w:tcPr>
            <w:tcW w:w="0" w:type="auto"/>
            <w:tcBorders>
              <w:top w:val="nil"/>
              <w:left w:val="nil"/>
              <w:bottom w:val="single" w:sz="6" w:space="0" w:color="000000"/>
              <w:right w:val="nil"/>
            </w:tcBorders>
            <w:shd w:val="clear" w:color="auto" w:fill="CD5C5C"/>
            <w:vAlign w:val="center"/>
            <w:hideMark/>
          </w:tcPr>
          <w:p w14:paraId="3CF42C9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0,49%</w:t>
            </w:r>
          </w:p>
        </w:tc>
        <w:tc>
          <w:tcPr>
            <w:tcW w:w="0" w:type="auto"/>
            <w:tcBorders>
              <w:top w:val="nil"/>
              <w:left w:val="nil"/>
              <w:bottom w:val="single" w:sz="6" w:space="0" w:color="000000"/>
              <w:right w:val="nil"/>
            </w:tcBorders>
            <w:shd w:val="clear" w:color="auto" w:fill="CD5C5C"/>
            <w:vAlign w:val="center"/>
            <w:hideMark/>
          </w:tcPr>
          <w:p w14:paraId="7E5EBA7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0,46%</w:t>
            </w:r>
          </w:p>
        </w:tc>
        <w:tc>
          <w:tcPr>
            <w:tcW w:w="0" w:type="auto"/>
            <w:tcBorders>
              <w:top w:val="nil"/>
              <w:left w:val="nil"/>
              <w:bottom w:val="single" w:sz="6" w:space="0" w:color="000000"/>
              <w:right w:val="nil"/>
            </w:tcBorders>
            <w:shd w:val="clear" w:color="auto" w:fill="CD5C5C"/>
            <w:vAlign w:val="center"/>
            <w:hideMark/>
          </w:tcPr>
          <w:p w14:paraId="1324A13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0,42%</w:t>
            </w:r>
          </w:p>
        </w:tc>
      </w:tr>
      <w:tr w:rsidR="00344381" w:rsidRPr="00A15598" w14:paraId="00908ED6" w14:textId="77777777" w:rsidTr="00344381">
        <w:trPr>
          <w:jc w:val="center"/>
        </w:trPr>
        <w:tc>
          <w:tcPr>
            <w:tcW w:w="0" w:type="auto"/>
            <w:tcBorders>
              <w:top w:val="single" w:sz="6" w:space="0" w:color="000000"/>
              <w:bottom w:val="single" w:sz="6" w:space="0" w:color="000000"/>
            </w:tcBorders>
            <w:shd w:val="clear" w:color="auto" w:fill="A9A9A9"/>
            <w:vAlign w:val="center"/>
            <w:hideMark/>
          </w:tcPr>
          <w:p w14:paraId="32AE5F78"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2" w:name="idm641344"/>
            <w:bookmarkEnd w:id="2"/>
            <w:r w:rsidRPr="00A15598">
              <w:rPr>
                <w:rFonts w:eastAsia="Times New Roman" w:cstheme="minorHAnsi"/>
                <w:b/>
                <w:bCs/>
                <w:sz w:val="24"/>
                <w:szCs w:val="24"/>
                <w:lang w:eastAsia="es-CO"/>
              </w:rPr>
              <w:t>2</w:t>
            </w:r>
          </w:p>
        </w:tc>
        <w:tc>
          <w:tcPr>
            <w:tcW w:w="0" w:type="auto"/>
            <w:tcBorders>
              <w:top w:val="nil"/>
              <w:left w:val="nil"/>
              <w:bottom w:val="single" w:sz="6" w:space="0" w:color="000000"/>
              <w:right w:val="nil"/>
            </w:tcBorders>
            <w:shd w:val="clear" w:color="auto" w:fill="FA8072"/>
            <w:vAlign w:val="center"/>
            <w:hideMark/>
          </w:tcPr>
          <w:p w14:paraId="6691590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1,69%</w:t>
            </w:r>
          </w:p>
        </w:tc>
        <w:tc>
          <w:tcPr>
            <w:tcW w:w="0" w:type="auto"/>
            <w:tcBorders>
              <w:top w:val="nil"/>
              <w:left w:val="nil"/>
              <w:bottom w:val="single" w:sz="6" w:space="0" w:color="000000"/>
              <w:right w:val="nil"/>
            </w:tcBorders>
            <w:shd w:val="clear" w:color="auto" w:fill="FA8072"/>
            <w:vAlign w:val="center"/>
            <w:hideMark/>
          </w:tcPr>
          <w:p w14:paraId="71116AF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1,66%</w:t>
            </w:r>
          </w:p>
        </w:tc>
        <w:tc>
          <w:tcPr>
            <w:tcW w:w="0" w:type="auto"/>
            <w:tcBorders>
              <w:top w:val="nil"/>
              <w:left w:val="nil"/>
              <w:bottom w:val="single" w:sz="6" w:space="0" w:color="000000"/>
              <w:right w:val="nil"/>
            </w:tcBorders>
            <w:shd w:val="clear" w:color="auto" w:fill="FA8072"/>
            <w:vAlign w:val="center"/>
            <w:hideMark/>
          </w:tcPr>
          <w:p w14:paraId="44413E2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1,53%</w:t>
            </w:r>
          </w:p>
        </w:tc>
        <w:tc>
          <w:tcPr>
            <w:tcW w:w="0" w:type="auto"/>
            <w:tcBorders>
              <w:top w:val="nil"/>
              <w:left w:val="nil"/>
              <w:bottom w:val="single" w:sz="6" w:space="0" w:color="000000"/>
              <w:right w:val="nil"/>
            </w:tcBorders>
            <w:shd w:val="clear" w:color="auto" w:fill="FA8072"/>
            <w:vAlign w:val="center"/>
            <w:hideMark/>
          </w:tcPr>
          <w:p w14:paraId="15FA2F7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1,27%</w:t>
            </w:r>
          </w:p>
        </w:tc>
        <w:tc>
          <w:tcPr>
            <w:tcW w:w="0" w:type="auto"/>
            <w:tcBorders>
              <w:top w:val="nil"/>
              <w:left w:val="nil"/>
              <w:bottom w:val="single" w:sz="6" w:space="0" w:color="000000"/>
              <w:right w:val="nil"/>
            </w:tcBorders>
            <w:shd w:val="clear" w:color="auto" w:fill="FA8072"/>
            <w:vAlign w:val="center"/>
            <w:hideMark/>
          </w:tcPr>
          <w:p w14:paraId="39FBC52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1,47%</w:t>
            </w:r>
          </w:p>
        </w:tc>
        <w:tc>
          <w:tcPr>
            <w:tcW w:w="0" w:type="auto"/>
            <w:tcBorders>
              <w:top w:val="nil"/>
              <w:left w:val="nil"/>
              <w:bottom w:val="single" w:sz="6" w:space="0" w:color="000000"/>
              <w:right w:val="nil"/>
            </w:tcBorders>
            <w:shd w:val="clear" w:color="auto" w:fill="F4A460"/>
            <w:vAlign w:val="center"/>
            <w:hideMark/>
          </w:tcPr>
          <w:p w14:paraId="0AC6D8E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2,56%</w:t>
            </w:r>
          </w:p>
        </w:tc>
        <w:tc>
          <w:tcPr>
            <w:tcW w:w="0" w:type="auto"/>
            <w:tcBorders>
              <w:top w:val="nil"/>
              <w:left w:val="nil"/>
              <w:bottom w:val="single" w:sz="6" w:space="0" w:color="000000"/>
              <w:right w:val="nil"/>
            </w:tcBorders>
            <w:shd w:val="clear" w:color="auto" w:fill="FA8072"/>
            <w:vAlign w:val="center"/>
            <w:hideMark/>
          </w:tcPr>
          <w:p w14:paraId="097C2C8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1,81%</w:t>
            </w:r>
          </w:p>
        </w:tc>
        <w:tc>
          <w:tcPr>
            <w:tcW w:w="0" w:type="auto"/>
            <w:tcBorders>
              <w:top w:val="nil"/>
              <w:left w:val="nil"/>
              <w:bottom w:val="single" w:sz="6" w:space="0" w:color="000000"/>
              <w:right w:val="nil"/>
            </w:tcBorders>
            <w:shd w:val="clear" w:color="auto" w:fill="FA8072"/>
            <w:vAlign w:val="center"/>
            <w:hideMark/>
          </w:tcPr>
          <w:p w14:paraId="7BC4EE4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1,93%</w:t>
            </w:r>
          </w:p>
        </w:tc>
        <w:tc>
          <w:tcPr>
            <w:tcW w:w="0" w:type="auto"/>
            <w:tcBorders>
              <w:top w:val="nil"/>
              <w:left w:val="nil"/>
              <w:bottom w:val="single" w:sz="6" w:space="0" w:color="000000"/>
              <w:right w:val="nil"/>
            </w:tcBorders>
            <w:shd w:val="clear" w:color="auto" w:fill="FA8072"/>
            <w:vAlign w:val="center"/>
            <w:hideMark/>
          </w:tcPr>
          <w:p w14:paraId="4CF57B8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2,06%</w:t>
            </w:r>
          </w:p>
        </w:tc>
      </w:tr>
      <w:tr w:rsidR="00344381" w:rsidRPr="00A15598" w14:paraId="40963B9B" w14:textId="77777777" w:rsidTr="00344381">
        <w:trPr>
          <w:jc w:val="center"/>
        </w:trPr>
        <w:tc>
          <w:tcPr>
            <w:tcW w:w="0" w:type="auto"/>
            <w:tcBorders>
              <w:top w:val="single" w:sz="6" w:space="0" w:color="000000"/>
              <w:bottom w:val="single" w:sz="6" w:space="0" w:color="000000"/>
            </w:tcBorders>
            <w:shd w:val="clear" w:color="auto" w:fill="C0C0C0"/>
            <w:vAlign w:val="center"/>
            <w:hideMark/>
          </w:tcPr>
          <w:p w14:paraId="44C46256"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3" w:name="idm631104"/>
            <w:bookmarkEnd w:id="3"/>
            <w:r w:rsidRPr="00A15598">
              <w:rPr>
                <w:rFonts w:eastAsia="Times New Roman" w:cstheme="minorHAnsi"/>
                <w:b/>
                <w:bCs/>
                <w:sz w:val="24"/>
                <w:szCs w:val="24"/>
                <w:lang w:eastAsia="es-CO"/>
              </w:rPr>
              <w:t>3</w:t>
            </w:r>
          </w:p>
        </w:tc>
        <w:tc>
          <w:tcPr>
            <w:tcW w:w="0" w:type="auto"/>
            <w:tcBorders>
              <w:top w:val="nil"/>
              <w:left w:val="nil"/>
              <w:bottom w:val="single" w:sz="6" w:space="0" w:color="000000"/>
              <w:right w:val="nil"/>
            </w:tcBorders>
            <w:shd w:val="clear" w:color="auto" w:fill="F4A460"/>
            <w:vAlign w:val="center"/>
            <w:hideMark/>
          </w:tcPr>
          <w:p w14:paraId="3CFD58B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3,47%</w:t>
            </w:r>
          </w:p>
        </w:tc>
        <w:tc>
          <w:tcPr>
            <w:tcW w:w="0" w:type="auto"/>
            <w:tcBorders>
              <w:top w:val="nil"/>
              <w:left w:val="nil"/>
              <w:bottom w:val="single" w:sz="6" w:space="0" w:color="000000"/>
              <w:right w:val="nil"/>
            </w:tcBorders>
            <w:shd w:val="clear" w:color="auto" w:fill="F4A460"/>
            <w:vAlign w:val="center"/>
            <w:hideMark/>
          </w:tcPr>
          <w:p w14:paraId="5E41DAE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3,04%</w:t>
            </w:r>
          </w:p>
        </w:tc>
        <w:tc>
          <w:tcPr>
            <w:tcW w:w="0" w:type="auto"/>
            <w:tcBorders>
              <w:top w:val="nil"/>
              <w:left w:val="nil"/>
              <w:bottom w:val="single" w:sz="6" w:space="0" w:color="000000"/>
              <w:right w:val="nil"/>
            </w:tcBorders>
            <w:shd w:val="clear" w:color="auto" w:fill="F4A460"/>
            <w:vAlign w:val="center"/>
            <w:hideMark/>
          </w:tcPr>
          <w:p w14:paraId="1F78532C"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3,20%</w:t>
            </w:r>
          </w:p>
        </w:tc>
        <w:tc>
          <w:tcPr>
            <w:tcW w:w="0" w:type="auto"/>
            <w:tcBorders>
              <w:top w:val="nil"/>
              <w:left w:val="nil"/>
              <w:bottom w:val="single" w:sz="6" w:space="0" w:color="000000"/>
              <w:right w:val="nil"/>
            </w:tcBorders>
            <w:shd w:val="clear" w:color="auto" w:fill="F4A460"/>
            <w:vAlign w:val="center"/>
            <w:hideMark/>
          </w:tcPr>
          <w:p w14:paraId="661B84B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3,44%</w:t>
            </w:r>
          </w:p>
        </w:tc>
        <w:tc>
          <w:tcPr>
            <w:tcW w:w="0" w:type="auto"/>
            <w:tcBorders>
              <w:top w:val="nil"/>
              <w:left w:val="nil"/>
              <w:bottom w:val="single" w:sz="6" w:space="0" w:color="000000"/>
              <w:right w:val="nil"/>
            </w:tcBorders>
            <w:shd w:val="clear" w:color="auto" w:fill="F4A460"/>
            <w:vAlign w:val="center"/>
            <w:hideMark/>
          </w:tcPr>
          <w:p w14:paraId="48C04AFC"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2,92%</w:t>
            </w:r>
          </w:p>
        </w:tc>
        <w:tc>
          <w:tcPr>
            <w:tcW w:w="0" w:type="auto"/>
            <w:tcBorders>
              <w:top w:val="nil"/>
              <w:left w:val="nil"/>
              <w:bottom w:val="single" w:sz="6" w:space="0" w:color="000000"/>
              <w:right w:val="nil"/>
            </w:tcBorders>
            <w:shd w:val="clear" w:color="auto" w:fill="FFFF7A"/>
            <w:vAlign w:val="center"/>
            <w:hideMark/>
          </w:tcPr>
          <w:p w14:paraId="140976D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4,07%</w:t>
            </w:r>
          </w:p>
        </w:tc>
        <w:tc>
          <w:tcPr>
            <w:tcW w:w="0" w:type="auto"/>
            <w:tcBorders>
              <w:top w:val="nil"/>
              <w:left w:val="nil"/>
              <w:bottom w:val="single" w:sz="6" w:space="0" w:color="000000"/>
              <w:right w:val="nil"/>
            </w:tcBorders>
            <w:shd w:val="clear" w:color="auto" w:fill="F4A460"/>
            <w:vAlign w:val="center"/>
            <w:hideMark/>
          </w:tcPr>
          <w:p w14:paraId="4A21196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3,50%</w:t>
            </w:r>
          </w:p>
        </w:tc>
        <w:tc>
          <w:tcPr>
            <w:tcW w:w="0" w:type="auto"/>
            <w:tcBorders>
              <w:top w:val="nil"/>
              <w:left w:val="nil"/>
              <w:bottom w:val="single" w:sz="6" w:space="0" w:color="000000"/>
              <w:right w:val="nil"/>
            </w:tcBorders>
            <w:shd w:val="clear" w:color="auto" w:fill="F4A460"/>
            <w:vAlign w:val="center"/>
            <w:hideMark/>
          </w:tcPr>
          <w:p w14:paraId="72D7811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3,55%</w:t>
            </w:r>
          </w:p>
        </w:tc>
        <w:tc>
          <w:tcPr>
            <w:tcW w:w="0" w:type="auto"/>
            <w:tcBorders>
              <w:top w:val="nil"/>
              <w:left w:val="nil"/>
              <w:bottom w:val="single" w:sz="6" w:space="0" w:color="000000"/>
              <w:right w:val="nil"/>
            </w:tcBorders>
            <w:shd w:val="clear" w:color="auto" w:fill="FFFF7A"/>
            <w:vAlign w:val="center"/>
            <w:hideMark/>
          </w:tcPr>
          <w:p w14:paraId="507F596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4,05%</w:t>
            </w:r>
          </w:p>
        </w:tc>
      </w:tr>
      <w:tr w:rsidR="00344381" w:rsidRPr="00A15598" w14:paraId="1D7AD06D" w14:textId="77777777" w:rsidTr="00344381">
        <w:trPr>
          <w:jc w:val="center"/>
        </w:trPr>
        <w:tc>
          <w:tcPr>
            <w:tcW w:w="0" w:type="auto"/>
            <w:tcBorders>
              <w:top w:val="single" w:sz="6" w:space="0" w:color="000000"/>
              <w:bottom w:val="single" w:sz="6" w:space="0" w:color="000000"/>
            </w:tcBorders>
            <w:shd w:val="clear" w:color="auto" w:fill="A9A9A9"/>
            <w:vAlign w:val="center"/>
            <w:hideMark/>
          </w:tcPr>
          <w:p w14:paraId="5E798C10"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4" w:name="idm620864"/>
            <w:bookmarkEnd w:id="4"/>
            <w:r w:rsidRPr="00A15598">
              <w:rPr>
                <w:rFonts w:eastAsia="Times New Roman" w:cstheme="minorHAnsi"/>
                <w:b/>
                <w:bCs/>
                <w:sz w:val="24"/>
                <w:szCs w:val="24"/>
                <w:lang w:eastAsia="es-CO"/>
              </w:rPr>
              <w:t>4</w:t>
            </w:r>
          </w:p>
        </w:tc>
        <w:tc>
          <w:tcPr>
            <w:tcW w:w="0" w:type="auto"/>
            <w:tcBorders>
              <w:top w:val="nil"/>
              <w:left w:val="nil"/>
              <w:bottom w:val="single" w:sz="6" w:space="0" w:color="000000"/>
              <w:right w:val="nil"/>
            </w:tcBorders>
            <w:shd w:val="clear" w:color="auto" w:fill="FFFF7A"/>
            <w:vAlign w:val="center"/>
            <w:hideMark/>
          </w:tcPr>
          <w:p w14:paraId="77FF2B1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4,53%</w:t>
            </w:r>
          </w:p>
        </w:tc>
        <w:tc>
          <w:tcPr>
            <w:tcW w:w="0" w:type="auto"/>
            <w:tcBorders>
              <w:top w:val="nil"/>
              <w:left w:val="nil"/>
              <w:bottom w:val="single" w:sz="6" w:space="0" w:color="000000"/>
              <w:right w:val="nil"/>
            </w:tcBorders>
            <w:shd w:val="clear" w:color="auto" w:fill="F4A460"/>
            <w:vAlign w:val="center"/>
            <w:hideMark/>
          </w:tcPr>
          <w:p w14:paraId="1324CCB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3,80%</w:t>
            </w:r>
          </w:p>
        </w:tc>
        <w:tc>
          <w:tcPr>
            <w:tcW w:w="0" w:type="auto"/>
            <w:tcBorders>
              <w:top w:val="nil"/>
              <w:left w:val="nil"/>
              <w:bottom w:val="single" w:sz="6" w:space="0" w:color="000000"/>
              <w:right w:val="nil"/>
            </w:tcBorders>
            <w:shd w:val="clear" w:color="auto" w:fill="F4A460"/>
            <w:vAlign w:val="center"/>
            <w:hideMark/>
          </w:tcPr>
          <w:p w14:paraId="05CDC37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3,59%</w:t>
            </w:r>
          </w:p>
        </w:tc>
        <w:tc>
          <w:tcPr>
            <w:tcW w:w="0" w:type="auto"/>
            <w:tcBorders>
              <w:top w:val="nil"/>
              <w:left w:val="nil"/>
              <w:bottom w:val="single" w:sz="6" w:space="0" w:color="000000"/>
              <w:right w:val="nil"/>
            </w:tcBorders>
            <w:shd w:val="clear" w:color="auto" w:fill="F4A460"/>
            <w:vAlign w:val="center"/>
            <w:hideMark/>
          </w:tcPr>
          <w:p w14:paraId="41D0C7A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3,52%</w:t>
            </w:r>
          </w:p>
        </w:tc>
        <w:tc>
          <w:tcPr>
            <w:tcW w:w="0" w:type="auto"/>
            <w:tcBorders>
              <w:top w:val="nil"/>
              <w:left w:val="nil"/>
              <w:bottom w:val="single" w:sz="6" w:space="0" w:color="000000"/>
              <w:right w:val="nil"/>
            </w:tcBorders>
            <w:shd w:val="clear" w:color="auto" w:fill="F4A460"/>
            <w:vAlign w:val="center"/>
            <w:hideMark/>
          </w:tcPr>
          <w:p w14:paraId="0187610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3,55%</w:t>
            </w:r>
          </w:p>
        </w:tc>
        <w:tc>
          <w:tcPr>
            <w:tcW w:w="0" w:type="auto"/>
            <w:tcBorders>
              <w:top w:val="nil"/>
              <w:left w:val="nil"/>
              <w:bottom w:val="single" w:sz="6" w:space="0" w:color="000000"/>
              <w:right w:val="nil"/>
            </w:tcBorders>
            <w:shd w:val="clear" w:color="auto" w:fill="F4A460"/>
            <w:vAlign w:val="center"/>
            <w:hideMark/>
          </w:tcPr>
          <w:p w14:paraId="41A3095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3,86%</w:t>
            </w:r>
          </w:p>
        </w:tc>
        <w:tc>
          <w:tcPr>
            <w:tcW w:w="0" w:type="auto"/>
            <w:tcBorders>
              <w:top w:val="nil"/>
              <w:left w:val="nil"/>
              <w:bottom w:val="single" w:sz="6" w:space="0" w:color="000000"/>
              <w:right w:val="nil"/>
            </w:tcBorders>
            <w:shd w:val="clear" w:color="auto" w:fill="F4A460"/>
            <w:vAlign w:val="center"/>
            <w:hideMark/>
          </w:tcPr>
          <w:p w14:paraId="26AA0B6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3,81%</w:t>
            </w:r>
          </w:p>
        </w:tc>
        <w:tc>
          <w:tcPr>
            <w:tcW w:w="0" w:type="auto"/>
            <w:tcBorders>
              <w:top w:val="nil"/>
              <w:left w:val="nil"/>
              <w:bottom w:val="single" w:sz="6" w:space="0" w:color="000000"/>
              <w:right w:val="nil"/>
            </w:tcBorders>
            <w:shd w:val="clear" w:color="auto" w:fill="FFFF7A"/>
            <w:vAlign w:val="center"/>
            <w:hideMark/>
          </w:tcPr>
          <w:p w14:paraId="64832CB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3,87%</w:t>
            </w:r>
          </w:p>
        </w:tc>
        <w:tc>
          <w:tcPr>
            <w:tcW w:w="0" w:type="auto"/>
            <w:tcBorders>
              <w:top w:val="nil"/>
              <w:left w:val="nil"/>
              <w:bottom w:val="single" w:sz="6" w:space="0" w:color="000000"/>
              <w:right w:val="nil"/>
            </w:tcBorders>
            <w:shd w:val="clear" w:color="auto" w:fill="FFFF7A"/>
            <w:vAlign w:val="center"/>
            <w:hideMark/>
          </w:tcPr>
          <w:p w14:paraId="1757C70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3,85%</w:t>
            </w:r>
          </w:p>
        </w:tc>
      </w:tr>
      <w:tr w:rsidR="00344381" w:rsidRPr="00A15598" w14:paraId="2E0C940C" w14:textId="77777777" w:rsidTr="00344381">
        <w:trPr>
          <w:jc w:val="center"/>
        </w:trPr>
        <w:tc>
          <w:tcPr>
            <w:tcW w:w="0" w:type="auto"/>
            <w:tcBorders>
              <w:top w:val="single" w:sz="6" w:space="0" w:color="000000"/>
              <w:bottom w:val="single" w:sz="6" w:space="0" w:color="000000"/>
            </w:tcBorders>
            <w:shd w:val="clear" w:color="auto" w:fill="C0C0C0"/>
            <w:vAlign w:val="center"/>
            <w:hideMark/>
          </w:tcPr>
          <w:p w14:paraId="0B9AB5A0"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5" w:name="idm610624"/>
            <w:bookmarkEnd w:id="5"/>
            <w:r w:rsidRPr="00A15598">
              <w:rPr>
                <w:rFonts w:eastAsia="Times New Roman" w:cstheme="minorHAnsi"/>
                <w:b/>
                <w:bCs/>
                <w:sz w:val="24"/>
                <w:szCs w:val="24"/>
                <w:lang w:eastAsia="es-CO"/>
              </w:rPr>
              <w:t>5</w:t>
            </w:r>
          </w:p>
        </w:tc>
        <w:tc>
          <w:tcPr>
            <w:tcW w:w="0" w:type="auto"/>
            <w:tcBorders>
              <w:top w:val="nil"/>
              <w:left w:val="nil"/>
              <w:bottom w:val="single" w:sz="6" w:space="0" w:color="000000"/>
              <w:right w:val="nil"/>
            </w:tcBorders>
            <w:shd w:val="clear" w:color="auto" w:fill="FFFF7A"/>
            <w:vAlign w:val="center"/>
            <w:hideMark/>
          </w:tcPr>
          <w:p w14:paraId="49366E4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4,72%</w:t>
            </w:r>
          </w:p>
        </w:tc>
        <w:tc>
          <w:tcPr>
            <w:tcW w:w="0" w:type="auto"/>
            <w:tcBorders>
              <w:top w:val="nil"/>
              <w:left w:val="nil"/>
              <w:bottom w:val="single" w:sz="6" w:space="0" w:color="000000"/>
              <w:right w:val="nil"/>
            </w:tcBorders>
            <w:shd w:val="clear" w:color="auto" w:fill="FFFF7A"/>
            <w:vAlign w:val="center"/>
            <w:hideMark/>
          </w:tcPr>
          <w:p w14:paraId="48325C2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4,39%</w:t>
            </w:r>
          </w:p>
        </w:tc>
        <w:tc>
          <w:tcPr>
            <w:tcW w:w="0" w:type="auto"/>
            <w:tcBorders>
              <w:top w:val="nil"/>
              <w:left w:val="nil"/>
              <w:bottom w:val="single" w:sz="6" w:space="0" w:color="000000"/>
              <w:right w:val="nil"/>
            </w:tcBorders>
            <w:shd w:val="clear" w:color="auto" w:fill="FFFF7A"/>
            <w:vAlign w:val="center"/>
            <w:hideMark/>
          </w:tcPr>
          <w:p w14:paraId="4F056E3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4,28%</w:t>
            </w:r>
          </w:p>
        </w:tc>
        <w:tc>
          <w:tcPr>
            <w:tcW w:w="0" w:type="auto"/>
            <w:tcBorders>
              <w:top w:val="nil"/>
              <w:left w:val="nil"/>
              <w:bottom w:val="single" w:sz="6" w:space="0" w:color="000000"/>
              <w:right w:val="nil"/>
            </w:tcBorders>
            <w:shd w:val="clear" w:color="auto" w:fill="FFFF7A"/>
            <w:vAlign w:val="center"/>
            <w:hideMark/>
          </w:tcPr>
          <w:p w14:paraId="1E6273C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4,13%</w:t>
            </w:r>
          </w:p>
        </w:tc>
        <w:tc>
          <w:tcPr>
            <w:tcW w:w="0" w:type="auto"/>
            <w:tcBorders>
              <w:top w:val="nil"/>
              <w:left w:val="nil"/>
              <w:bottom w:val="single" w:sz="6" w:space="0" w:color="000000"/>
              <w:right w:val="nil"/>
            </w:tcBorders>
            <w:shd w:val="clear" w:color="auto" w:fill="FFFF7A"/>
            <w:vAlign w:val="center"/>
            <w:hideMark/>
          </w:tcPr>
          <w:p w14:paraId="420132F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4,42%</w:t>
            </w:r>
          </w:p>
        </w:tc>
        <w:tc>
          <w:tcPr>
            <w:tcW w:w="0" w:type="auto"/>
            <w:tcBorders>
              <w:top w:val="nil"/>
              <w:left w:val="nil"/>
              <w:bottom w:val="single" w:sz="6" w:space="0" w:color="000000"/>
              <w:right w:val="nil"/>
            </w:tcBorders>
            <w:shd w:val="clear" w:color="auto" w:fill="FFFF7A"/>
            <w:vAlign w:val="center"/>
            <w:hideMark/>
          </w:tcPr>
          <w:p w14:paraId="430C65F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4,55%</w:t>
            </w:r>
          </w:p>
        </w:tc>
        <w:tc>
          <w:tcPr>
            <w:tcW w:w="0" w:type="auto"/>
            <w:tcBorders>
              <w:top w:val="nil"/>
              <w:left w:val="nil"/>
              <w:bottom w:val="single" w:sz="6" w:space="0" w:color="000000"/>
              <w:right w:val="nil"/>
            </w:tcBorders>
            <w:shd w:val="clear" w:color="auto" w:fill="F4A460"/>
            <w:vAlign w:val="center"/>
            <w:hideMark/>
          </w:tcPr>
          <w:p w14:paraId="4DAFF4A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3,91%</w:t>
            </w:r>
          </w:p>
        </w:tc>
        <w:tc>
          <w:tcPr>
            <w:tcW w:w="0" w:type="auto"/>
            <w:tcBorders>
              <w:top w:val="nil"/>
              <w:left w:val="nil"/>
              <w:bottom w:val="single" w:sz="6" w:space="0" w:color="000000"/>
              <w:right w:val="nil"/>
            </w:tcBorders>
            <w:shd w:val="clear" w:color="auto" w:fill="FFFF7A"/>
            <w:vAlign w:val="center"/>
            <w:hideMark/>
          </w:tcPr>
          <w:p w14:paraId="724A125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4,26%</w:t>
            </w:r>
          </w:p>
        </w:tc>
        <w:tc>
          <w:tcPr>
            <w:tcW w:w="0" w:type="auto"/>
            <w:tcBorders>
              <w:top w:val="nil"/>
              <w:left w:val="nil"/>
              <w:bottom w:val="single" w:sz="6" w:space="0" w:color="000000"/>
              <w:right w:val="nil"/>
            </w:tcBorders>
            <w:shd w:val="clear" w:color="auto" w:fill="FFFF7A"/>
            <w:vAlign w:val="center"/>
            <w:hideMark/>
          </w:tcPr>
          <w:p w14:paraId="1EAEAC1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4,17%</w:t>
            </w:r>
          </w:p>
        </w:tc>
      </w:tr>
      <w:tr w:rsidR="00344381" w:rsidRPr="00A15598" w14:paraId="720D43C1" w14:textId="77777777" w:rsidTr="00344381">
        <w:trPr>
          <w:jc w:val="center"/>
        </w:trPr>
        <w:tc>
          <w:tcPr>
            <w:tcW w:w="0" w:type="auto"/>
            <w:tcBorders>
              <w:top w:val="single" w:sz="6" w:space="0" w:color="000000"/>
              <w:bottom w:val="single" w:sz="6" w:space="0" w:color="000000"/>
            </w:tcBorders>
            <w:shd w:val="clear" w:color="auto" w:fill="A9A9A9"/>
            <w:vAlign w:val="center"/>
            <w:hideMark/>
          </w:tcPr>
          <w:p w14:paraId="339851D9"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6" w:name="idm600336"/>
            <w:bookmarkEnd w:id="6"/>
            <w:r w:rsidRPr="00A15598">
              <w:rPr>
                <w:rFonts w:eastAsia="Times New Roman" w:cstheme="minorHAnsi"/>
                <w:b/>
                <w:bCs/>
                <w:sz w:val="24"/>
                <w:szCs w:val="24"/>
                <w:lang w:eastAsia="es-CO"/>
              </w:rPr>
              <w:t>6</w:t>
            </w:r>
          </w:p>
        </w:tc>
        <w:tc>
          <w:tcPr>
            <w:tcW w:w="0" w:type="auto"/>
            <w:tcBorders>
              <w:top w:val="nil"/>
              <w:left w:val="nil"/>
              <w:bottom w:val="single" w:sz="6" w:space="0" w:color="000000"/>
              <w:right w:val="nil"/>
            </w:tcBorders>
            <w:shd w:val="clear" w:color="auto" w:fill="FFFF7A"/>
            <w:vAlign w:val="center"/>
            <w:hideMark/>
          </w:tcPr>
          <w:p w14:paraId="7588C23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4,81%</w:t>
            </w:r>
          </w:p>
        </w:tc>
        <w:tc>
          <w:tcPr>
            <w:tcW w:w="0" w:type="auto"/>
            <w:tcBorders>
              <w:top w:val="nil"/>
              <w:left w:val="nil"/>
              <w:bottom w:val="single" w:sz="6" w:space="0" w:color="000000"/>
              <w:right w:val="nil"/>
            </w:tcBorders>
            <w:shd w:val="clear" w:color="auto" w:fill="FFFF7A"/>
            <w:vAlign w:val="center"/>
            <w:hideMark/>
          </w:tcPr>
          <w:p w14:paraId="1A90277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4,44%</w:t>
            </w:r>
          </w:p>
        </w:tc>
        <w:tc>
          <w:tcPr>
            <w:tcW w:w="0" w:type="auto"/>
            <w:tcBorders>
              <w:top w:val="nil"/>
              <w:left w:val="nil"/>
              <w:bottom w:val="single" w:sz="6" w:space="0" w:color="000000"/>
              <w:right w:val="nil"/>
            </w:tcBorders>
            <w:shd w:val="clear" w:color="auto" w:fill="FFFF7A"/>
            <w:vAlign w:val="center"/>
            <w:hideMark/>
          </w:tcPr>
          <w:p w14:paraId="274654B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4,27%</w:t>
            </w:r>
          </w:p>
        </w:tc>
        <w:tc>
          <w:tcPr>
            <w:tcW w:w="0" w:type="auto"/>
            <w:tcBorders>
              <w:top w:val="nil"/>
              <w:left w:val="nil"/>
              <w:bottom w:val="single" w:sz="6" w:space="0" w:color="000000"/>
              <w:right w:val="nil"/>
            </w:tcBorders>
            <w:shd w:val="clear" w:color="auto" w:fill="FFFF7A"/>
            <w:vAlign w:val="center"/>
            <w:hideMark/>
          </w:tcPr>
          <w:p w14:paraId="502C1C6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4,74%</w:t>
            </w:r>
          </w:p>
        </w:tc>
        <w:tc>
          <w:tcPr>
            <w:tcW w:w="0" w:type="auto"/>
            <w:tcBorders>
              <w:top w:val="nil"/>
              <w:left w:val="nil"/>
              <w:bottom w:val="single" w:sz="6" w:space="0" w:color="000000"/>
              <w:right w:val="nil"/>
            </w:tcBorders>
            <w:shd w:val="clear" w:color="auto" w:fill="FFFF7A"/>
            <w:vAlign w:val="center"/>
            <w:hideMark/>
          </w:tcPr>
          <w:p w14:paraId="474AC9A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5,25%</w:t>
            </w:r>
          </w:p>
        </w:tc>
        <w:tc>
          <w:tcPr>
            <w:tcW w:w="0" w:type="auto"/>
            <w:tcBorders>
              <w:top w:val="nil"/>
              <w:left w:val="nil"/>
              <w:bottom w:val="single" w:sz="6" w:space="0" w:color="000000"/>
              <w:right w:val="nil"/>
            </w:tcBorders>
            <w:shd w:val="clear" w:color="auto" w:fill="FFFF7A"/>
            <w:vAlign w:val="center"/>
            <w:hideMark/>
          </w:tcPr>
          <w:p w14:paraId="1B25E50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4,83%</w:t>
            </w:r>
          </w:p>
        </w:tc>
        <w:tc>
          <w:tcPr>
            <w:tcW w:w="0" w:type="auto"/>
            <w:tcBorders>
              <w:top w:val="nil"/>
              <w:left w:val="nil"/>
              <w:bottom w:val="single" w:sz="6" w:space="0" w:color="000000"/>
              <w:right w:val="nil"/>
            </w:tcBorders>
            <w:shd w:val="clear" w:color="auto" w:fill="FFFF7A"/>
            <w:vAlign w:val="center"/>
            <w:hideMark/>
          </w:tcPr>
          <w:p w14:paraId="17D0189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4,56%</w:t>
            </w:r>
          </w:p>
        </w:tc>
        <w:tc>
          <w:tcPr>
            <w:tcW w:w="0" w:type="auto"/>
            <w:tcBorders>
              <w:top w:val="nil"/>
              <w:left w:val="nil"/>
              <w:bottom w:val="single" w:sz="6" w:space="0" w:color="000000"/>
              <w:right w:val="nil"/>
            </w:tcBorders>
            <w:shd w:val="clear" w:color="auto" w:fill="FFFF7A"/>
            <w:vAlign w:val="center"/>
            <w:hideMark/>
          </w:tcPr>
          <w:p w14:paraId="254BDA3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4,52%</w:t>
            </w:r>
          </w:p>
        </w:tc>
        <w:tc>
          <w:tcPr>
            <w:tcW w:w="0" w:type="auto"/>
            <w:tcBorders>
              <w:top w:val="nil"/>
              <w:left w:val="nil"/>
              <w:bottom w:val="single" w:sz="6" w:space="0" w:color="000000"/>
              <w:right w:val="nil"/>
            </w:tcBorders>
            <w:shd w:val="clear" w:color="auto" w:fill="FFFF7A"/>
            <w:vAlign w:val="center"/>
            <w:hideMark/>
          </w:tcPr>
          <w:p w14:paraId="69FEE11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4,38%</w:t>
            </w:r>
          </w:p>
        </w:tc>
      </w:tr>
      <w:tr w:rsidR="00344381" w:rsidRPr="00A15598" w14:paraId="38EF11F0" w14:textId="77777777" w:rsidTr="00344381">
        <w:trPr>
          <w:jc w:val="center"/>
        </w:trPr>
        <w:tc>
          <w:tcPr>
            <w:tcW w:w="0" w:type="auto"/>
            <w:tcBorders>
              <w:top w:val="single" w:sz="6" w:space="0" w:color="000000"/>
              <w:bottom w:val="single" w:sz="6" w:space="0" w:color="000000"/>
            </w:tcBorders>
            <w:shd w:val="clear" w:color="auto" w:fill="C0C0C0"/>
            <w:vAlign w:val="center"/>
            <w:hideMark/>
          </w:tcPr>
          <w:p w14:paraId="01ED499D"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7" w:name="idm590048"/>
            <w:bookmarkEnd w:id="7"/>
            <w:r w:rsidRPr="00A15598">
              <w:rPr>
                <w:rFonts w:eastAsia="Times New Roman" w:cstheme="minorHAnsi"/>
                <w:b/>
                <w:bCs/>
                <w:sz w:val="24"/>
                <w:szCs w:val="24"/>
                <w:lang w:eastAsia="es-CO"/>
              </w:rPr>
              <w:t>7</w:t>
            </w:r>
          </w:p>
        </w:tc>
        <w:tc>
          <w:tcPr>
            <w:tcW w:w="0" w:type="auto"/>
            <w:tcBorders>
              <w:top w:val="nil"/>
              <w:left w:val="nil"/>
              <w:bottom w:val="single" w:sz="6" w:space="0" w:color="000000"/>
              <w:right w:val="nil"/>
            </w:tcBorders>
            <w:shd w:val="clear" w:color="auto" w:fill="FFFF7A"/>
            <w:vAlign w:val="center"/>
            <w:hideMark/>
          </w:tcPr>
          <w:p w14:paraId="072DC15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5,39%</w:t>
            </w:r>
          </w:p>
        </w:tc>
        <w:tc>
          <w:tcPr>
            <w:tcW w:w="0" w:type="auto"/>
            <w:tcBorders>
              <w:top w:val="nil"/>
              <w:left w:val="nil"/>
              <w:bottom w:val="single" w:sz="6" w:space="0" w:color="000000"/>
              <w:right w:val="nil"/>
            </w:tcBorders>
            <w:shd w:val="clear" w:color="auto" w:fill="FFFF7A"/>
            <w:vAlign w:val="center"/>
            <w:hideMark/>
          </w:tcPr>
          <w:p w14:paraId="015DD32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4,89%</w:t>
            </w:r>
          </w:p>
        </w:tc>
        <w:tc>
          <w:tcPr>
            <w:tcW w:w="0" w:type="auto"/>
            <w:tcBorders>
              <w:top w:val="nil"/>
              <w:left w:val="nil"/>
              <w:bottom w:val="single" w:sz="6" w:space="0" w:color="000000"/>
              <w:right w:val="nil"/>
            </w:tcBorders>
            <w:shd w:val="clear" w:color="auto" w:fill="FFFF7A"/>
            <w:vAlign w:val="center"/>
            <w:hideMark/>
          </w:tcPr>
          <w:p w14:paraId="077AA61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4,57%</w:t>
            </w:r>
          </w:p>
        </w:tc>
        <w:tc>
          <w:tcPr>
            <w:tcW w:w="0" w:type="auto"/>
            <w:tcBorders>
              <w:top w:val="nil"/>
              <w:left w:val="nil"/>
              <w:bottom w:val="single" w:sz="6" w:space="0" w:color="000000"/>
              <w:right w:val="nil"/>
            </w:tcBorders>
            <w:shd w:val="clear" w:color="auto" w:fill="FFFF7A"/>
            <w:vAlign w:val="center"/>
            <w:hideMark/>
          </w:tcPr>
          <w:p w14:paraId="0742F25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4,38%</w:t>
            </w:r>
          </w:p>
        </w:tc>
        <w:tc>
          <w:tcPr>
            <w:tcW w:w="0" w:type="auto"/>
            <w:tcBorders>
              <w:top w:val="nil"/>
              <w:left w:val="nil"/>
              <w:bottom w:val="single" w:sz="6" w:space="0" w:color="000000"/>
              <w:right w:val="nil"/>
            </w:tcBorders>
            <w:shd w:val="clear" w:color="auto" w:fill="FFFF7A"/>
            <w:vAlign w:val="center"/>
            <w:hideMark/>
          </w:tcPr>
          <w:p w14:paraId="2E57C93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4,75%</w:t>
            </w:r>
          </w:p>
        </w:tc>
        <w:tc>
          <w:tcPr>
            <w:tcW w:w="0" w:type="auto"/>
            <w:tcBorders>
              <w:top w:val="nil"/>
              <w:left w:val="nil"/>
              <w:bottom w:val="single" w:sz="6" w:space="0" w:color="000000"/>
              <w:right w:val="nil"/>
            </w:tcBorders>
            <w:shd w:val="clear" w:color="auto" w:fill="FFFF7A"/>
            <w:vAlign w:val="center"/>
            <w:hideMark/>
          </w:tcPr>
          <w:p w14:paraId="78CE9B6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4,99%</w:t>
            </w:r>
          </w:p>
        </w:tc>
        <w:tc>
          <w:tcPr>
            <w:tcW w:w="0" w:type="auto"/>
            <w:tcBorders>
              <w:top w:val="nil"/>
              <w:left w:val="nil"/>
              <w:bottom w:val="single" w:sz="6" w:space="0" w:color="000000"/>
              <w:right w:val="nil"/>
            </w:tcBorders>
            <w:shd w:val="clear" w:color="auto" w:fill="FFFF7A"/>
            <w:vAlign w:val="center"/>
            <w:hideMark/>
          </w:tcPr>
          <w:p w14:paraId="292CD95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4,78%</w:t>
            </w:r>
          </w:p>
        </w:tc>
        <w:tc>
          <w:tcPr>
            <w:tcW w:w="0" w:type="auto"/>
            <w:tcBorders>
              <w:top w:val="nil"/>
              <w:left w:val="nil"/>
              <w:bottom w:val="single" w:sz="6" w:space="0" w:color="000000"/>
              <w:right w:val="nil"/>
            </w:tcBorders>
            <w:shd w:val="clear" w:color="auto" w:fill="FFFF7A"/>
            <w:vAlign w:val="center"/>
            <w:hideMark/>
          </w:tcPr>
          <w:p w14:paraId="389A6D5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5,23%</w:t>
            </w:r>
          </w:p>
        </w:tc>
        <w:tc>
          <w:tcPr>
            <w:tcW w:w="0" w:type="auto"/>
            <w:tcBorders>
              <w:top w:val="nil"/>
              <w:left w:val="nil"/>
              <w:bottom w:val="single" w:sz="6" w:space="0" w:color="000000"/>
              <w:right w:val="nil"/>
            </w:tcBorders>
            <w:shd w:val="clear" w:color="auto" w:fill="FFFF7A"/>
            <w:vAlign w:val="center"/>
            <w:hideMark/>
          </w:tcPr>
          <w:p w14:paraId="176280AC"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5,10%</w:t>
            </w:r>
          </w:p>
        </w:tc>
      </w:tr>
      <w:tr w:rsidR="00344381" w:rsidRPr="00A15598" w14:paraId="739552CC" w14:textId="77777777" w:rsidTr="00344381">
        <w:trPr>
          <w:jc w:val="center"/>
        </w:trPr>
        <w:tc>
          <w:tcPr>
            <w:tcW w:w="0" w:type="auto"/>
            <w:tcBorders>
              <w:top w:val="single" w:sz="6" w:space="0" w:color="000000"/>
              <w:bottom w:val="single" w:sz="6" w:space="0" w:color="000000"/>
            </w:tcBorders>
            <w:shd w:val="clear" w:color="auto" w:fill="A9A9A9"/>
            <w:vAlign w:val="center"/>
            <w:hideMark/>
          </w:tcPr>
          <w:p w14:paraId="468FFAA8"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8" w:name="idm579808"/>
            <w:bookmarkEnd w:id="8"/>
            <w:r w:rsidRPr="00A15598">
              <w:rPr>
                <w:rFonts w:eastAsia="Times New Roman" w:cstheme="minorHAnsi"/>
                <w:b/>
                <w:bCs/>
                <w:sz w:val="24"/>
                <w:szCs w:val="24"/>
                <w:lang w:eastAsia="es-CO"/>
              </w:rPr>
              <w:t>8</w:t>
            </w:r>
          </w:p>
        </w:tc>
        <w:tc>
          <w:tcPr>
            <w:tcW w:w="0" w:type="auto"/>
            <w:tcBorders>
              <w:top w:val="nil"/>
              <w:left w:val="nil"/>
              <w:bottom w:val="single" w:sz="6" w:space="0" w:color="000000"/>
              <w:right w:val="nil"/>
            </w:tcBorders>
            <w:shd w:val="clear" w:color="auto" w:fill="FFFF7A"/>
            <w:vAlign w:val="center"/>
            <w:hideMark/>
          </w:tcPr>
          <w:p w14:paraId="1C8FCA0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6,10%</w:t>
            </w:r>
          </w:p>
        </w:tc>
        <w:tc>
          <w:tcPr>
            <w:tcW w:w="0" w:type="auto"/>
            <w:tcBorders>
              <w:top w:val="nil"/>
              <w:left w:val="nil"/>
              <w:bottom w:val="single" w:sz="6" w:space="0" w:color="000000"/>
              <w:right w:val="nil"/>
            </w:tcBorders>
            <w:shd w:val="clear" w:color="auto" w:fill="FFFF7A"/>
            <w:vAlign w:val="center"/>
            <w:hideMark/>
          </w:tcPr>
          <w:p w14:paraId="53468E4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6,05%</w:t>
            </w:r>
          </w:p>
        </w:tc>
        <w:tc>
          <w:tcPr>
            <w:tcW w:w="0" w:type="auto"/>
            <w:tcBorders>
              <w:top w:val="nil"/>
              <w:left w:val="nil"/>
              <w:bottom w:val="single" w:sz="6" w:space="0" w:color="000000"/>
              <w:right w:val="nil"/>
            </w:tcBorders>
            <w:shd w:val="clear" w:color="auto" w:fill="FFFF7A"/>
            <w:vAlign w:val="center"/>
            <w:hideMark/>
          </w:tcPr>
          <w:p w14:paraId="54CD909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5,11%</w:t>
            </w:r>
          </w:p>
        </w:tc>
        <w:tc>
          <w:tcPr>
            <w:tcW w:w="0" w:type="auto"/>
            <w:tcBorders>
              <w:top w:val="nil"/>
              <w:left w:val="nil"/>
              <w:bottom w:val="single" w:sz="6" w:space="0" w:color="000000"/>
              <w:right w:val="nil"/>
            </w:tcBorders>
            <w:shd w:val="clear" w:color="auto" w:fill="FFFF7A"/>
            <w:vAlign w:val="center"/>
            <w:hideMark/>
          </w:tcPr>
          <w:p w14:paraId="6D31A7C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5,37%</w:t>
            </w:r>
          </w:p>
        </w:tc>
        <w:tc>
          <w:tcPr>
            <w:tcW w:w="0" w:type="auto"/>
            <w:tcBorders>
              <w:top w:val="nil"/>
              <w:left w:val="nil"/>
              <w:bottom w:val="single" w:sz="6" w:space="0" w:color="000000"/>
              <w:right w:val="nil"/>
            </w:tcBorders>
            <w:shd w:val="clear" w:color="auto" w:fill="FFFF7A"/>
            <w:vAlign w:val="center"/>
            <w:hideMark/>
          </w:tcPr>
          <w:p w14:paraId="24FF82B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5,19%</w:t>
            </w:r>
          </w:p>
        </w:tc>
        <w:tc>
          <w:tcPr>
            <w:tcW w:w="0" w:type="auto"/>
            <w:tcBorders>
              <w:top w:val="nil"/>
              <w:left w:val="nil"/>
              <w:bottom w:val="single" w:sz="6" w:space="0" w:color="000000"/>
              <w:right w:val="nil"/>
            </w:tcBorders>
            <w:shd w:val="clear" w:color="auto" w:fill="FFFF7A"/>
            <w:vAlign w:val="center"/>
            <w:hideMark/>
          </w:tcPr>
          <w:p w14:paraId="7945C00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5,08%</w:t>
            </w:r>
          </w:p>
        </w:tc>
        <w:tc>
          <w:tcPr>
            <w:tcW w:w="0" w:type="auto"/>
            <w:tcBorders>
              <w:top w:val="nil"/>
              <w:left w:val="nil"/>
              <w:bottom w:val="single" w:sz="6" w:space="0" w:color="000000"/>
              <w:right w:val="nil"/>
            </w:tcBorders>
            <w:shd w:val="clear" w:color="auto" w:fill="FFFF7A"/>
            <w:vAlign w:val="center"/>
            <w:hideMark/>
          </w:tcPr>
          <w:p w14:paraId="03E5A75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5,17%</w:t>
            </w:r>
          </w:p>
        </w:tc>
        <w:tc>
          <w:tcPr>
            <w:tcW w:w="0" w:type="auto"/>
            <w:tcBorders>
              <w:top w:val="nil"/>
              <w:left w:val="nil"/>
              <w:bottom w:val="single" w:sz="6" w:space="0" w:color="000000"/>
              <w:right w:val="nil"/>
            </w:tcBorders>
            <w:shd w:val="clear" w:color="auto" w:fill="FFFF7A"/>
            <w:vAlign w:val="center"/>
            <w:hideMark/>
          </w:tcPr>
          <w:p w14:paraId="1C5073D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5,48%</w:t>
            </w:r>
          </w:p>
        </w:tc>
        <w:tc>
          <w:tcPr>
            <w:tcW w:w="0" w:type="auto"/>
            <w:tcBorders>
              <w:top w:val="nil"/>
              <w:left w:val="nil"/>
              <w:bottom w:val="single" w:sz="6" w:space="0" w:color="000000"/>
              <w:right w:val="nil"/>
            </w:tcBorders>
            <w:shd w:val="clear" w:color="auto" w:fill="FFFF7A"/>
            <w:vAlign w:val="center"/>
            <w:hideMark/>
          </w:tcPr>
          <w:p w14:paraId="5577E4E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5,90%</w:t>
            </w:r>
          </w:p>
        </w:tc>
      </w:tr>
      <w:tr w:rsidR="00344381" w:rsidRPr="00A15598" w14:paraId="0146285F" w14:textId="77777777" w:rsidTr="00344381">
        <w:trPr>
          <w:jc w:val="center"/>
        </w:trPr>
        <w:tc>
          <w:tcPr>
            <w:tcW w:w="0" w:type="auto"/>
            <w:tcBorders>
              <w:top w:val="single" w:sz="6" w:space="0" w:color="000000"/>
              <w:bottom w:val="single" w:sz="6" w:space="0" w:color="000000"/>
            </w:tcBorders>
            <w:shd w:val="clear" w:color="auto" w:fill="C0C0C0"/>
            <w:vAlign w:val="center"/>
            <w:hideMark/>
          </w:tcPr>
          <w:p w14:paraId="429656FE"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9" w:name="idm569568"/>
            <w:bookmarkEnd w:id="9"/>
            <w:r w:rsidRPr="00A15598">
              <w:rPr>
                <w:rFonts w:eastAsia="Times New Roman" w:cstheme="minorHAnsi"/>
                <w:b/>
                <w:bCs/>
                <w:sz w:val="24"/>
                <w:szCs w:val="24"/>
                <w:lang w:eastAsia="es-CO"/>
              </w:rPr>
              <w:t>9</w:t>
            </w:r>
          </w:p>
        </w:tc>
        <w:tc>
          <w:tcPr>
            <w:tcW w:w="0" w:type="auto"/>
            <w:tcBorders>
              <w:top w:val="nil"/>
              <w:left w:val="nil"/>
              <w:bottom w:val="single" w:sz="6" w:space="0" w:color="000000"/>
              <w:right w:val="nil"/>
            </w:tcBorders>
            <w:shd w:val="clear" w:color="auto" w:fill="FFFF7A"/>
            <w:vAlign w:val="center"/>
            <w:hideMark/>
          </w:tcPr>
          <w:p w14:paraId="1C9423E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5,87%</w:t>
            </w:r>
          </w:p>
        </w:tc>
        <w:tc>
          <w:tcPr>
            <w:tcW w:w="0" w:type="auto"/>
            <w:tcBorders>
              <w:top w:val="nil"/>
              <w:left w:val="nil"/>
              <w:bottom w:val="single" w:sz="6" w:space="0" w:color="000000"/>
              <w:right w:val="nil"/>
            </w:tcBorders>
            <w:shd w:val="clear" w:color="auto" w:fill="FFFF7A"/>
            <w:vAlign w:val="center"/>
            <w:hideMark/>
          </w:tcPr>
          <w:p w14:paraId="7A32B97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6,04%</w:t>
            </w:r>
          </w:p>
        </w:tc>
        <w:tc>
          <w:tcPr>
            <w:tcW w:w="0" w:type="auto"/>
            <w:tcBorders>
              <w:top w:val="nil"/>
              <w:left w:val="nil"/>
              <w:bottom w:val="single" w:sz="6" w:space="0" w:color="000000"/>
              <w:right w:val="nil"/>
            </w:tcBorders>
            <w:shd w:val="clear" w:color="auto" w:fill="FFFF7A"/>
            <w:vAlign w:val="center"/>
            <w:hideMark/>
          </w:tcPr>
          <w:p w14:paraId="07014AC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5,27%</w:t>
            </w:r>
          </w:p>
        </w:tc>
        <w:tc>
          <w:tcPr>
            <w:tcW w:w="0" w:type="auto"/>
            <w:tcBorders>
              <w:top w:val="nil"/>
              <w:left w:val="nil"/>
              <w:bottom w:val="single" w:sz="6" w:space="0" w:color="000000"/>
              <w:right w:val="nil"/>
            </w:tcBorders>
            <w:shd w:val="clear" w:color="auto" w:fill="FFFF7A"/>
            <w:vAlign w:val="center"/>
            <w:hideMark/>
          </w:tcPr>
          <w:p w14:paraId="579E20E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5,17%</w:t>
            </w:r>
          </w:p>
        </w:tc>
        <w:tc>
          <w:tcPr>
            <w:tcW w:w="0" w:type="auto"/>
            <w:tcBorders>
              <w:top w:val="nil"/>
              <w:left w:val="nil"/>
              <w:bottom w:val="single" w:sz="6" w:space="0" w:color="000000"/>
              <w:right w:val="nil"/>
            </w:tcBorders>
            <w:shd w:val="clear" w:color="auto" w:fill="FFFF7A"/>
            <w:vAlign w:val="center"/>
            <w:hideMark/>
          </w:tcPr>
          <w:p w14:paraId="68607C9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5,23%</w:t>
            </w:r>
          </w:p>
        </w:tc>
        <w:tc>
          <w:tcPr>
            <w:tcW w:w="0" w:type="auto"/>
            <w:tcBorders>
              <w:top w:val="nil"/>
              <w:left w:val="nil"/>
              <w:bottom w:val="single" w:sz="6" w:space="0" w:color="000000"/>
              <w:right w:val="nil"/>
            </w:tcBorders>
            <w:shd w:val="clear" w:color="auto" w:fill="FFFF7A"/>
            <w:vAlign w:val="center"/>
            <w:hideMark/>
          </w:tcPr>
          <w:p w14:paraId="58982AF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5,20%</w:t>
            </w:r>
          </w:p>
        </w:tc>
        <w:tc>
          <w:tcPr>
            <w:tcW w:w="0" w:type="auto"/>
            <w:tcBorders>
              <w:top w:val="nil"/>
              <w:left w:val="nil"/>
              <w:bottom w:val="single" w:sz="6" w:space="0" w:color="000000"/>
              <w:right w:val="nil"/>
            </w:tcBorders>
            <w:shd w:val="clear" w:color="auto" w:fill="FFFF7A"/>
            <w:vAlign w:val="center"/>
            <w:hideMark/>
          </w:tcPr>
          <w:p w14:paraId="60B5CAA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5,48%</w:t>
            </w:r>
          </w:p>
        </w:tc>
        <w:tc>
          <w:tcPr>
            <w:tcW w:w="0" w:type="auto"/>
            <w:tcBorders>
              <w:top w:val="nil"/>
              <w:left w:val="nil"/>
              <w:bottom w:val="single" w:sz="6" w:space="0" w:color="000000"/>
              <w:right w:val="nil"/>
            </w:tcBorders>
            <w:shd w:val="clear" w:color="auto" w:fill="FFFF7A"/>
            <w:vAlign w:val="center"/>
            <w:hideMark/>
          </w:tcPr>
          <w:p w14:paraId="392B6E7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5,52%</w:t>
            </w:r>
          </w:p>
        </w:tc>
        <w:tc>
          <w:tcPr>
            <w:tcW w:w="0" w:type="auto"/>
            <w:tcBorders>
              <w:top w:val="nil"/>
              <w:left w:val="nil"/>
              <w:bottom w:val="single" w:sz="6" w:space="0" w:color="000000"/>
              <w:right w:val="nil"/>
            </w:tcBorders>
            <w:shd w:val="clear" w:color="auto" w:fill="FFFF7A"/>
            <w:vAlign w:val="center"/>
            <w:hideMark/>
          </w:tcPr>
          <w:p w14:paraId="523974E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5,68%</w:t>
            </w:r>
          </w:p>
        </w:tc>
      </w:tr>
      <w:tr w:rsidR="00344381" w:rsidRPr="00A15598" w14:paraId="36C79276" w14:textId="77777777" w:rsidTr="00344381">
        <w:trPr>
          <w:jc w:val="center"/>
        </w:trPr>
        <w:tc>
          <w:tcPr>
            <w:tcW w:w="0" w:type="auto"/>
            <w:tcBorders>
              <w:top w:val="single" w:sz="6" w:space="0" w:color="000000"/>
              <w:bottom w:val="single" w:sz="6" w:space="0" w:color="000000"/>
            </w:tcBorders>
            <w:shd w:val="clear" w:color="auto" w:fill="A9A9A9"/>
            <w:vAlign w:val="center"/>
            <w:hideMark/>
          </w:tcPr>
          <w:p w14:paraId="7B877A4F"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10" w:name="idm559328"/>
            <w:bookmarkEnd w:id="10"/>
            <w:r w:rsidRPr="00A15598">
              <w:rPr>
                <w:rFonts w:eastAsia="Times New Roman" w:cstheme="minorHAnsi"/>
                <w:b/>
                <w:bCs/>
                <w:sz w:val="24"/>
                <w:szCs w:val="24"/>
                <w:lang w:eastAsia="es-CO"/>
              </w:rPr>
              <w:t>10</w:t>
            </w:r>
          </w:p>
        </w:tc>
        <w:tc>
          <w:tcPr>
            <w:tcW w:w="0" w:type="auto"/>
            <w:tcBorders>
              <w:top w:val="nil"/>
              <w:left w:val="nil"/>
              <w:bottom w:val="single" w:sz="6" w:space="0" w:color="000000"/>
              <w:right w:val="nil"/>
            </w:tcBorders>
            <w:shd w:val="clear" w:color="auto" w:fill="FFFF7A"/>
            <w:vAlign w:val="center"/>
            <w:hideMark/>
          </w:tcPr>
          <w:p w14:paraId="176C129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6,48%</w:t>
            </w:r>
          </w:p>
        </w:tc>
        <w:tc>
          <w:tcPr>
            <w:tcW w:w="0" w:type="auto"/>
            <w:tcBorders>
              <w:top w:val="nil"/>
              <w:left w:val="nil"/>
              <w:bottom w:val="single" w:sz="6" w:space="0" w:color="000000"/>
              <w:right w:val="nil"/>
            </w:tcBorders>
            <w:shd w:val="clear" w:color="auto" w:fill="FFFF7A"/>
            <w:vAlign w:val="center"/>
            <w:hideMark/>
          </w:tcPr>
          <w:p w14:paraId="281169B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7,50%</w:t>
            </w:r>
          </w:p>
        </w:tc>
        <w:tc>
          <w:tcPr>
            <w:tcW w:w="0" w:type="auto"/>
            <w:tcBorders>
              <w:top w:val="nil"/>
              <w:left w:val="nil"/>
              <w:bottom w:val="single" w:sz="6" w:space="0" w:color="000000"/>
              <w:right w:val="nil"/>
            </w:tcBorders>
            <w:shd w:val="clear" w:color="auto" w:fill="FFFF7A"/>
            <w:vAlign w:val="center"/>
            <w:hideMark/>
          </w:tcPr>
          <w:p w14:paraId="3F127DC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6,13%</w:t>
            </w:r>
          </w:p>
        </w:tc>
        <w:tc>
          <w:tcPr>
            <w:tcW w:w="0" w:type="auto"/>
            <w:tcBorders>
              <w:top w:val="nil"/>
              <w:left w:val="nil"/>
              <w:bottom w:val="single" w:sz="6" w:space="0" w:color="000000"/>
              <w:right w:val="nil"/>
            </w:tcBorders>
            <w:shd w:val="clear" w:color="auto" w:fill="FFFF7A"/>
            <w:vAlign w:val="center"/>
            <w:hideMark/>
          </w:tcPr>
          <w:p w14:paraId="437040B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6,46%</w:t>
            </w:r>
          </w:p>
        </w:tc>
        <w:tc>
          <w:tcPr>
            <w:tcW w:w="0" w:type="auto"/>
            <w:tcBorders>
              <w:top w:val="nil"/>
              <w:left w:val="nil"/>
              <w:bottom w:val="single" w:sz="6" w:space="0" w:color="000000"/>
              <w:right w:val="nil"/>
            </w:tcBorders>
            <w:shd w:val="clear" w:color="auto" w:fill="FFFF7A"/>
            <w:vAlign w:val="center"/>
            <w:hideMark/>
          </w:tcPr>
          <w:p w14:paraId="44707FC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5,76%</w:t>
            </w:r>
          </w:p>
        </w:tc>
        <w:tc>
          <w:tcPr>
            <w:tcW w:w="0" w:type="auto"/>
            <w:tcBorders>
              <w:top w:val="nil"/>
              <w:left w:val="nil"/>
              <w:bottom w:val="single" w:sz="6" w:space="0" w:color="000000"/>
              <w:right w:val="nil"/>
            </w:tcBorders>
            <w:shd w:val="clear" w:color="auto" w:fill="FFFF7A"/>
            <w:vAlign w:val="center"/>
            <w:hideMark/>
          </w:tcPr>
          <w:p w14:paraId="2AE1FAF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6,08%</w:t>
            </w:r>
          </w:p>
        </w:tc>
        <w:tc>
          <w:tcPr>
            <w:tcW w:w="0" w:type="auto"/>
            <w:tcBorders>
              <w:top w:val="nil"/>
              <w:left w:val="nil"/>
              <w:bottom w:val="single" w:sz="6" w:space="0" w:color="000000"/>
              <w:right w:val="nil"/>
            </w:tcBorders>
            <w:shd w:val="clear" w:color="auto" w:fill="FFFF7A"/>
            <w:vAlign w:val="center"/>
            <w:hideMark/>
          </w:tcPr>
          <w:p w14:paraId="3A648B4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5,54%</w:t>
            </w:r>
          </w:p>
        </w:tc>
        <w:tc>
          <w:tcPr>
            <w:tcW w:w="0" w:type="auto"/>
            <w:tcBorders>
              <w:top w:val="nil"/>
              <w:left w:val="nil"/>
              <w:bottom w:val="single" w:sz="6" w:space="0" w:color="000000"/>
              <w:right w:val="nil"/>
            </w:tcBorders>
            <w:shd w:val="clear" w:color="auto" w:fill="FFFF7A"/>
            <w:vAlign w:val="center"/>
            <w:hideMark/>
          </w:tcPr>
          <w:p w14:paraId="3E3FDE3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5,87%</w:t>
            </w:r>
          </w:p>
        </w:tc>
        <w:tc>
          <w:tcPr>
            <w:tcW w:w="0" w:type="auto"/>
            <w:tcBorders>
              <w:top w:val="nil"/>
              <w:left w:val="nil"/>
              <w:bottom w:val="single" w:sz="6" w:space="0" w:color="000000"/>
              <w:right w:val="nil"/>
            </w:tcBorders>
            <w:shd w:val="clear" w:color="auto" w:fill="FFFF7A"/>
            <w:vAlign w:val="center"/>
            <w:hideMark/>
          </w:tcPr>
          <w:p w14:paraId="333C990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6,52%</w:t>
            </w:r>
          </w:p>
        </w:tc>
      </w:tr>
      <w:tr w:rsidR="00344381" w:rsidRPr="00A15598" w14:paraId="241AF784" w14:textId="77777777" w:rsidTr="00344381">
        <w:trPr>
          <w:jc w:val="center"/>
        </w:trPr>
        <w:tc>
          <w:tcPr>
            <w:tcW w:w="0" w:type="auto"/>
            <w:tcBorders>
              <w:top w:val="single" w:sz="6" w:space="0" w:color="000000"/>
              <w:bottom w:val="single" w:sz="6" w:space="0" w:color="000000"/>
            </w:tcBorders>
            <w:shd w:val="clear" w:color="auto" w:fill="C0C0C0"/>
            <w:vAlign w:val="center"/>
            <w:hideMark/>
          </w:tcPr>
          <w:p w14:paraId="214A8871"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11" w:name="idm549088"/>
            <w:bookmarkEnd w:id="11"/>
            <w:r w:rsidRPr="00A15598">
              <w:rPr>
                <w:rFonts w:eastAsia="Times New Roman" w:cstheme="minorHAnsi"/>
                <w:b/>
                <w:bCs/>
                <w:sz w:val="24"/>
                <w:szCs w:val="24"/>
                <w:lang w:eastAsia="es-CO"/>
              </w:rPr>
              <w:t>11</w:t>
            </w:r>
          </w:p>
        </w:tc>
        <w:tc>
          <w:tcPr>
            <w:tcW w:w="0" w:type="auto"/>
            <w:tcBorders>
              <w:top w:val="nil"/>
              <w:left w:val="nil"/>
              <w:bottom w:val="single" w:sz="6" w:space="0" w:color="000000"/>
              <w:right w:val="nil"/>
            </w:tcBorders>
            <w:shd w:val="clear" w:color="auto" w:fill="FFFF7A"/>
            <w:vAlign w:val="center"/>
            <w:hideMark/>
          </w:tcPr>
          <w:p w14:paraId="43612D2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6,58%</w:t>
            </w:r>
          </w:p>
        </w:tc>
        <w:tc>
          <w:tcPr>
            <w:tcW w:w="0" w:type="auto"/>
            <w:tcBorders>
              <w:top w:val="nil"/>
              <w:left w:val="nil"/>
              <w:bottom w:val="single" w:sz="6" w:space="0" w:color="000000"/>
              <w:right w:val="nil"/>
            </w:tcBorders>
            <w:shd w:val="clear" w:color="auto" w:fill="FFFF7A"/>
            <w:vAlign w:val="center"/>
            <w:hideMark/>
          </w:tcPr>
          <w:p w14:paraId="020DB2F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7,40%</w:t>
            </w:r>
          </w:p>
        </w:tc>
        <w:tc>
          <w:tcPr>
            <w:tcW w:w="0" w:type="auto"/>
            <w:tcBorders>
              <w:top w:val="nil"/>
              <w:left w:val="nil"/>
              <w:bottom w:val="single" w:sz="6" w:space="0" w:color="000000"/>
              <w:right w:val="nil"/>
            </w:tcBorders>
            <w:shd w:val="clear" w:color="auto" w:fill="FFFF7A"/>
            <w:vAlign w:val="center"/>
            <w:hideMark/>
          </w:tcPr>
          <w:p w14:paraId="6297955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6,90%</w:t>
            </w:r>
          </w:p>
        </w:tc>
        <w:tc>
          <w:tcPr>
            <w:tcW w:w="0" w:type="auto"/>
            <w:tcBorders>
              <w:top w:val="nil"/>
              <w:left w:val="nil"/>
              <w:bottom w:val="single" w:sz="6" w:space="0" w:color="000000"/>
              <w:right w:val="nil"/>
            </w:tcBorders>
            <w:shd w:val="clear" w:color="auto" w:fill="FFFF7A"/>
            <w:vAlign w:val="center"/>
            <w:hideMark/>
          </w:tcPr>
          <w:p w14:paraId="6C49A5E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6,20%</w:t>
            </w:r>
          </w:p>
        </w:tc>
        <w:tc>
          <w:tcPr>
            <w:tcW w:w="0" w:type="auto"/>
            <w:tcBorders>
              <w:top w:val="nil"/>
              <w:left w:val="nil"/>
              <w:bottom w:val="single" w:sz="6" w:space="0" w:color="000000"/>
              <w:right w:val="nil"/>
            </w:tcBorders>
            <w:shd w:val="clear" w:color="auto" w:fill="FFFF7A"/>
            <w:vAlign w:val="center"/>
            <w:hideMark/>
          </w:tcPr>
          <w:p w14:paraId="606EFB6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6,72%</w:t>
            </w:r>
          </w:p>
        </w:tc>
        <w:tc>
          <w:tcPr>
            <w:tcW w:w="0" w:type="auto"/>
            <w:tcBorders>
              <w:top w:val="nil"/>
              <w:left w:val="nil"/>
              <w:bottom w:val="single" w:sz="6" w:space="0" w:color="000000"/>
              <w:right w:val="nil"/>
            </w:tcBorders>
            <w:shd w:val="clear" w:color="auto" w:fill="FFFF7A"/>
            <w:vAlign w:val="center"/>
            <w:hideMark/>
          </w:tcPr>
          <w:p w14:paraId="1CAF0F0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7,06%</w:t>
            </w:r>
          </w:p>
        </w:tc>
        <w:tc>
          <w:tcPr>
            <w:tcW w:w="0" w:type="auto"/>
            <w:tcBorders>
              <w:top w:val="nil"/>
              <w:left w:val="nil"/>
              <w:bottom w:val="single" w:sz="6" w:space="0" w:color="000000"/>
              <w:right w:val="nil"/>
            </w:tcBorders>
            <w:shd w:val="clear" w:color="auto" w:fill="FFFF7A"/>
            <w:vAlign w:val="center"/>
            <w:hideMark/>
          </w:tcPr>
          <w:p w14:paraId="02E1833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7,07%</w:t>
            </w:r>
          </w:p>
        </w:tc>
        <w:tc>
          <w:tcPr>
            <w:tcW w:w="0" w:type="auto"/>
            <w:tcBorders>
              <w:top w:val="nil"/>
              <w:left w:val="nil"/>
              <w:bottom w:val="single" w:sz="6" w:space="0" w:color="000000"/>
              <w:right w:val="nil"/>
            </w:tcBorders>
            <w:shd w:val="clear" w:color="auto" w:fill="FFFF7A"/>
            <w:vAlign w:val="center"/>
            <w:hideMark/>
          </w:tcPr>
          <w:p w14:paraId="2073F43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7,76%</w:t>
            </w:r>
          </w:p>
        </w:tc>
        <w:tc>
          <w:tcPr>
            <w:tcW w:w="0" w:type="auto"/>
            <w:tcBorders>
              <w:top w:val="nil"/>
              <w:left w:val="nil"/>
              <w:bottom w:val="single" w:sz="6" w:space="0" w:color="000000"/>
              <w:right w:val="nil"/>
            </w:tcBorders>
            <w:shd w:val="clear" w:color="auto" w:fill="FFFF7A"/>
            <w:vAlign w:val="center"/>
            <w:hideMark/>
          </w:tcPr>
          <w:p w14:paraId="1B6C483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7,17%</w:t>
            </w:r>
          </w:p>
        </w:tc>
      </w:tr>
      <w:tr w:rsidR="00344381" w:rsidRPr="00A15598" w14:paraId="05F9BB8B" w14:textId="77777777" w:rsidTr="00344381">
        <w:trPr>
          <w:jc w:val="center"/>
        </w:trPr>
        <w:tc>
          <w:tcPr>
            <w:tcW w:w="0" w:type="auto"/>
            <w:tcBorders>
              <w:top w:val="single" w:sz="6" w:space="0" w:color="000000"/>
              <w:bottom w:val="single" w:sz="6" w:space="0" w:color="000000"/>
            </w:tcBorders>
            <w:shd w:val="clear" w:color="auto" w:fill="A9A9A9"/>
            <w:vAlign w:val="center"/>
            <w:hideMark/>
          </w:tcPr>
          <w:p w14:paraId="399649C3"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12" w:name="idm538848"/>
            <w:bookmarkEnd w:id="12"/>
            <w:r w:rsidRPr="00A15598">
              <w:rPr>
                <w:rFonts w:eastAsia="Times New Roman" w:cstheme="minorHAnsi"/>
                <w:b/>
                <w:bCs/>
                <w:sz w:val="24"/>
                <w:szCs w:val="24"/>
                <w:lang w:eastAsia="es-CO"/>
              </w:rPr>
              <w:t>12</w:t>
            </w:r>
          </w:p>
        </w:tc>
        <w:tc>
          <w:tcPr>
            <w:tcW w:w="0" w:type="auto"/>
            <w:tcBorders>
              <w:top w:val="nil"/>
              <w:left w:val="nil"/>
              <w:bottom w:val="single" w:sz="6" w:space="0" w:color="000000"/>
              <w:right w:val="nil"/>
            </w:tcBorders>
            <w:shd w:val="clear" w:color="auto" w:fill="DBEDDC"/>
            <w:vAlign w:val="center"/>
            <w:hideMark/>
          </w:tcPr>
          <w:p w14:paraId="55988A4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10,74%</w:t>
            </w:r>
          </w:p>
        </w:tc>
        <w:tc>
          <w:tcPr>
            <w:tcW w:w="0" w:type="auto"/>
            <w:tcBorders>
              <w:top w:val="nil"/>
              <w:left w:val="nil"/>
              <w:bottom w:val="single" w:sz="6" w:space="0" w:color="000000"/>
              <w:right w:val="nil"/>
            </w:tcBorders>
            <w:shd w:val="clear" w:color="auto" w:fill="DBEDDC"/>
            <w:vAlign w:val="center"/>
            <w:hideMark/>
          </w:tcPr>
          <w:p w14:paraId="57FD370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10,83%</w:t>
            </w:r>
          </w:p>
        </w:tc>
        <w:tc>
          <w:tcPr>
            <w:tcW w:w="0" w:type="auto"/>
            <w:tcBorders>
              <w:top w:val="nil"/>
              <w:left w:val="nil"/>
              <w:bottom w:val="single" w:sz="6" w:space="0" w:color="000000"/>
              <w:right w:val="nil"/>
            </w:tcBorders>
            <w:shd w:val="clear" w:color="auto" w:fill="DBEDDC"/>
            <w:vAlign w:val="center"/>
            <w:hideMark/>
          </w:tcPr>
          <w:p w14:paraId="2835101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11,10%</w:t>
            </w:r>
          </w:p>
        </w:tc>
        <w:tc>
          <w:tcPr>
            <w:tcW w:w="0" w:type="auto"/>
            <w:tcBorders>
              <w:top w:val="nil"/>
              <w:left w:val="nil"/>
              <w:bottom w:val="single" w:sz="6" w:space="0" w:color="000000"/>
              <w:right w:val="nil"/>
            </w:tcBorders>
            <w:shd w:val="clear" w:color="auto" w:fill="DBEDDC"/>
            <w:vAlign w:val="center"/>
            <w:hideMark/>
          </w:tcPr>
          <w:p w14:paraId="16B60DB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11,24%</w:t>
            </w:r>
          </w:p>
        </w:tc>
        <w:tc>
          <w:tcPr>
            <w:tcW w:w="0" w:type="auto"/>
            <w:tcBorders>
              <w:top w:val="nil"/>
              <w:left w:val="nil"/>
              <w:bottom w:val="single" w:sz="6" w:space="0" w:color="000000"/>
              <w:right w:val="nil"/>
            </w:tcBorders>
            <w:shd w:val="clear" w:color="auto" w:fill="DBEDDC"/>
            <w:vAlign w:val="center"/>
            <w:hideMark/>
          </w:tcPr>
          <w:p w14:paraId="61388EB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10,22%</w:t>
            </w:r>
          </w:p>
        </w:tc>
        <w:tc>
          <w:tcPr>
            <w:tcW w:w="0" w:type="auto"/>
            <w:tcBorders>
              <w:top w:val="nil"/>
              <w:left w:val="nil"/>
              <w:bottom w:val="single" w:sz="6" w:space="0" w:color="000000"/>
              <w:right w:val="nil"/>
            </w:tcBorders>
            <w:shd w:val="clear" w:color="auto" w:fill="DBEDDC"/>
            <w:vAlign w:val="center"/>
            <w:hideMark/>
          </w:tcPr>
          <w:p w14:paraId="51C760D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11,20%</w:t>
            </w:r>
          </w:p>
        </w:tc>
        <w:tc>
          <w:tcPr>
            <w:tcW w:w="0" w:type="auto"/>
            <w:tcBorders>
              <w:top w:val="nil"/>
              <w:left w:val="nil"/>
              <w:bottom w:val="single" w:sz="6" w:space="0" w:color="000000"/>
              <w:right w:val="nil"/>
            </w:tcBorders>
            <w:shd w:val="clear" w:color="auto" w:fill="DBEDDC"/>
            <w:vAlign w:val="center"/>
            <w:hideMark/>
          </w:tcPr>
          <w:p w14:paraId="68DADC9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11,95%</w:t>
            </w:r>
          </w:p>
        </w:tc>
        <w:tc>
          <w:tcPr>
            <w:tcW w:w="0" w:type="auto"/>
            <w:tcBorders>
              <w:top w:val="nil"/>
              <w:left w:val="nil"/>
              <w:bottom w:val="single" w:sz="6" w:space="0" w:color="000000"/>
              <w:right w:val="nil"/>
            </w:tcBorders>
            <w:shd w:val="clear" w:color="auto" w:fill="DBEDDC"/>
            <w:vAlign w:val="center"/>
            <w:hideMark/>
          </w:tcPr>
          <w:p w14:paraId="2F4D677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12,41%</w:t>
            </w:r>
          </w:p>
        </w:tc>
        <w:tc>
          <w:tcPr>
            <w:tcW w:w="0" w:type="auto"/>
            <w:tcBorders>
              <w:top w:val="nil"/>
              <w:left w:val="nil"/>
              <w:bottom w:val="single" w:sz="6" w:space="0" w:color="000000"/>
              <w:right w:val="nil"/>
            </w:tcBorders>
            <w:shd w:val="clear" w:color="auto" w:fill="DBEDDC"/>
            <w:vAlign w:val="center"/>
            <w:hideMark/>
          </w:tcPr>
          <w:p w14:paraId="47864B0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11,32%</w:t>
            </w:r>
          </w:p>
        </w:tc>
      </w:tr>
      <w:tr w:rsidR="00344381" w:rsidRPr="00A15598" w14:paraId="488CB010" w14:textId="77777777" w:rsidTr="00344381">
        <w:trPr>
          <w:jc w:val="center"/>
        </w:trPr>
        <w:tc>
          <w:tcPr>
            <w:tcW w:w="0" w:type="auto"/>
            <w:tcBorders>
              <w:top w:val="single" w:sz="6" w:space="0" w:color="000000"/>
              <w:bottom w:val="single" w:sz="6" w:space="0" w:color="000000"/>
            </w:tcBorders>
            <w:shd w:val="clear" w:color="auto" w:fill="C0C0C0"/>
            <w:vAlign w:val="center"/>
            <w:hideMark/>
          </w:tcPr>
          <w:p w14:paraId="589C6F1A"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13" w:name="idm528608"/>
            <w:bookmarkEnd w:id="13"/>
            <w:r w:rsidRPr="00A15598">
              <w:rPr>
                <w:rFonts w:eastAsia="Times New Roman" w:cstheme="minorHAnsi"/>
                <w:b/>
                <w:bCs/>
                <w:sz w:val="24"/>
                <w:szCs w:val="24"/>
                <w:lang w:eastAsia="es-CO"/>
              </w:rPr>
              <w:t>13</w:t>
            </w:r>
          </w:p>
        </w:tc>
        <w:tc>
          <w:tcPr>
            <w:tcW w:w="0" w:type="auto"/>
            <w:tcBorders>
              <w:top w:val="nil"/>
              <w:left w:val="nil"/>
              <w:bottom w:val="single" w:sz="6" w:space="0" w:color="000000"/>
              <w:right w:val="nil"/>
            </w:tcBorders>
            <w:shd w:val="clear" w:color="auto" w:fill="B8DABA"/>
            <w:vAlign w:val="center"/>
            <w:hideMark/>
          </w:tcPr>
          <w:p w14:paraId="045F2DB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13,94%</w:t>
            </w:r>
          </w:p>
        </w:tc>
        <w:tc>
          <w:tcPr>
            <w:tcW w:w="0" w:type="auto"/>
            <w:tcBorders>
              <w:top w:val="nil"/>
              <w:left w:val="nil"/>
              <w:bottom w:val="single" w:sz="6" w:space="0" w:color="000000"/>
              <w:right w:val="nil"/>
            </w:tcBorders>
            <w:shd w:val="clear" w:color="auto" w:fill="B8DABA"/>
            <w:vAlign w:val="center"/>
            <w:hideMark/>
          </w:tcPr>
          <w:p w14:paraId="52695CD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14,16%</w:t>
            </w:r>
          </w:p>
        </w:tc>
        <w:tc>
          <w:tcPr>
            <w:tcW w:w="0" w:type="auto"/>
            <w:tcBorders>
              <w:top w:val="nil"/>
              <w:left w:val="nil"/>
              <w:bottom w:val="single" w:sz="6" w:space="0" w:color="000000"/>
              <w:right w:val="nil"/>
            </w:tcBorders>
            <w:shd w:val="clear" w:color="auto" w:fill="B8DABA"/>
            <w:vAlign w:val="center"/>
            <w:hideMark/>
          </w:tcPr>
          <w:p w14:paraId="2F1C312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16,29%</w:t>
            </w:r>
          </w:p>
        </w:tc>
        <w:tc>
          <w:tcPr>
            <w:tcW w:w="0" w:type="auto"/>
            <w:tcBorders>
              <w:top w:val="nil"/>
              <w:left w:val="nil"/>
              <w:bottom w:val="single" w:sz="6" w:space="0" w:color="000000"/>
              <w:right w:val="nil"/>
            </w:tcBorders>
            <w:shd w:val="clear" w:color="auto" w:fill="B8DABA"/>
            <w:vAlign w:val="center"/>
            <w:hideMark/>
          </w:tcPr>
          <w:p w14:paraId="6797493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16,46%</w:t>
            </w:r>
          </w:p>
        </w:tc>
        <w:tc>
          <w:tcPr>
            <w:tcW w:w="0" w:type="auto"/>
            <w:tcBorders>
              <w:top w:val="nil"/>
              <w:left w:val="nil"/>
              <w:bottom w:val="single" w:sz="6" w:space="0" w:color="000000"/>
              <w:right w:val="nil"/>
            </w:tcBorders>
            <w:shd w:val="clear" w:color="auto" w:fill="DBEDDC"/>
            <w:vAlign w:val="center"/>
            <w:hideMark/>
          </w:tcPr>
          <w:p w14:paraId="31E1845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14,17%</w:t>
            </w:r>
          </w:p>
        </w:tc>
        <w:tc>
          <w:tcPr>
            <w:tcW w:w="0" w:type="auto"/>
            <w:tcBorders>
              <w:top w:val="nil"/>
              <w:left w:val="nil"/>
              <w:bottom w:val="single" w:sz="6" w:space="0" w:color="000000"/>
              <w:right w:val="nil"/>
            </w:tcBorders>
            <w:shd w:val="clear" w:color="auto" w:fill="B8DABA"/>
            <w:vAlign w:val="center"/>
            <w:hideMark/>
          </w:tcPr>
          <w:p w14:paraId="339F265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15,12%</w:t>
            </w:r>
          </w:p>
        </w:tc>
        <w:tc>
          <w:tcPr>
            <w:tcW w:w="0" w:type="auto"/>
            <w:tcBorders>
              <w:top w:val="nil"/>
              <w:left w:val="nil"/>
              <w:bottom w:val="single" w:sz="6" w:space="0" w:color="000000"/>
              <w:right w:val="nil"/>
            </w:tcBorders>
            <w:shd w:val="clear" w:color="auto" w:fill="B8DABA"/>
            <w:vAlign w:val="center"/>
            <w:hideMark/>
          </w:tcPr>
          <w:p w14:paraId="7B8ED9E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17,70%</w:t>
            </w:r>
          </w:p>
        </w:tc>
        <w:tc>
          <w:tcPr>
            <w:tcW w:w="0" w:type="auto"/>
            <w:tcBorders>
              <w:top w:val="nil"/>
              <w:left w:val="nil"/>
              <w:bottom w:val="single" w:sz="6" w:space="0" w:color="000000"/>
              <w:right w:val="nil"/>
            </w:tcBorders>
            <w:shd w:val="clear" w:color="auto" w:fill="B8DABA"/>
            <w:vAlign w:val="center"/>
            <w:hideMark/>
          </w:tcPr>
          <w:p w14:paraId="324A6E4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17,40%</w:t>
            </w:r>
          </w:p>
        </w:tc>
        <w:tc>
          <w:tcPr>
            <w:tcW w:w="0" w:type="auto"/>
            <w:tcBorders>
              <w:top w:val="nil"/>
              <w:left w:val="nil"/>
              <w:bottom w:val="single" w:sz="6" w:space="0" w:color="000000"/>
              <w:right w:val="nil"/>
            </w:tcBorders>
            <w:shd w:val="clear" w:color="auto" w:fill="B8DABA"/>
            <w:vAlign w:val="center"/>
            <w:hideMark/>
          </w:tcPr>
          <w:p w14:paraId="6C74667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15,60%</w:t>
            </w:r>
          </w:p>
        </w:tc>
      </w:tr>
      <w:tr w:rsidR="00344381" w:rsidRPr="00A15598" w14:paraId="49A60924" w14:textId="77777777" w:rsidTr="00344381">
        <w:trPr>
          <w:jc w:val="center"/>
        </w:trPr>
        <w:tc>
          <w:tcPr>
            <w:tcW w:w="0" w:type="auto"/>
            <w:tcBorders>
              <w:top w:val="single" w:sz="6" w:space="0" w:color="000000"/>
              <w:bottom w:val="single" w:sz="6" w:space="0" w:color="000000"/>
            </w:tcBorders>
            <w:shd w:val="clear" w:color="auto" w:fill="A9A9A9"/>
            <w:vAlign w:val="center"/>
            <w:hideMark/>
          </w:tcPr>
          <w:p w14:paraId="584B29F5"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14" w:name="idm518368"/>
            <w:bookmarkEnd w:id="14"/>
            <w:r w:rsidRPr="00A15598">
              <w:rPr>
                <w:rFonts w:eastAsia="Times New Roman" w:cstheme="minorHAnsi"/>
                <w:b/>
                <w:bCs/>
                <w:sz w:val="24"/>
                <w:szCs w:val="24"/>
                <w:lang w:eastAsia="es-CO"/>
              </w:rPr>
              <w:t>14</w:t>
            </w:r>
          </w:p>
        </w:tc>
        <w:tc>
          <w:tcPr>
            <w:tcW w:w="0" w:type="auto"/>
            <w:tcBorders>
              <w:top w:val="nil"/>
              <w:left w:val="nil"/>
              <w:bottom w:val="single" w:sz="6" w:space="0" w:color="000000"/>
              <w:right w:val="nil"/>
            </w:tcBorders>
            <w:shd w:val="clear" w:color="auto" w:fill="DBEDDC"/>
            <w:vAlign w:val="center"/>
            <w:hideMark/>
          </w:tcPr>
          <w:p w14:paraId="5695752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9,53%</w:t>
            </w:r>
          </w:p>
        </w:tc>
        <w:tc>
          <w:tcPr>
            <w:tcW w:w="0" w:type="auto"/>
            <w:tcBorders>
              <w:top w:val="nil"/>
              <w:left w:val="nil"/>
              <w:bottom w:val="single" w:sz="6" w:space="0" w:color="000000"/>
              <w:right w:val="nil"/>
            </w:tcBorders>
            <w:shd w:val="clear" w:color="auto" w:fill="DBEDDC"/>
            <w:vAlign w:val="center"/>
            <w:hideMark/>
          </w:tcPr>
          <w:p w14:paraId="3EBCD24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10,29%</w:t>
            </w:r>
          </w:p>
        </w:tc>
        <w:tc>
          <w:tcPr>
            <w:tcW w:w="0" w:type="auto"/>
            <w:tcBorders>
              <w:top w:val="nil"/>
              <w:left w:val="nil"/>
              <w:bottom w:val="single" w:sz="6" w:space="0" w:color="000000"/>
              <w:right w:val="nil"/>
            </w:tcBorders>
            <w:shd w:val="clear" w:color="auto" w:fill="DBEDDC"/>
            <w:vAlign w:val="center"/>
            <w:hideMark/>
          </w:tcPr>
          <w:p w14:paraId="6CDCD27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10,70%</w:t>
            </w:r>
          </w:p>
        </w:tc>
        <w:tc>
          <w:tcPr>
            <w:tcW w:w="0" w:type="auto"/>
            <w:tcBorders>
              <w:top w:val="nil"/>
              <w:left w:val="nil"/>
              <w:bottom w:val="single" w:sz="6" w:space="0" w:color="000000"/>
              <w:right w:val="nil"/>
            </w:tcBorders>
            <w:shd w:val="clear" w:color="auto" w:fill="DBEDDC"/>
            <w:vAlign w:val="center"/>
            <w:hideMark/>
          </w:tcPr>
          <w:p w14:paraId="6E8276F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11,34%</w:t>
            </w:r>
          </w:p>
        </w:tc>
        <w:tc>
          <w:tcPr>
            <w:tcW w:w="0" w:type="auto"/>
            <w:tcBorders>
              <w:top w:val="nil"/>
              <w:left w:val="nil"/>
              <w:bottom w:val="single" w:sz="6" w:space="0" w:color="000000"/>
              <w:right w:val="nil"/>
            </w:tcBorders>
            <w:shd w:val="clear" w:color="auto" w:fill="DBEDDC"/>
            <w:vAlign w:val="center"/>
            <w:hideMark/>
          </w:tcPr>
          <w:p w14:paraId="1E1BD9CC"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12,19%</w:t>
            </w:r>
          </w:p>
        </w:tc>
        <w:tc>
          <w:tcPr>
            <w:tcW w:w="0" w:type="auto"/>
            <w:tcBorders>
              <w:top w:val="nil"/>
              <w:left w:val="nil"/>
              <w:bottom w:val="single" w:sz="6" w:space="0" w:color="000000"/>
              <w:right w:val="nil"/>
            </w:tcBorders>
            <w:shd w:val="clear" w:color="auto" w:fill="B8DABA"/>
            <w:vAlign w:val="center"/>
            <w:hideMark/>
          </w:tcPr>
          <w:p w14:paraId="2D7F33C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9,21%</w:t>
            </w:r>
          </w:p>
        </w:tc>
        <w:tc>
          <w:tcPr>
            <w:tcW w:w="0" w:type="auto"/>
            <w:tcBorders>
              <w:top w:val="nil"/>
              <w:left w:val="nil"/>
              <w:bottom w:val="single" w:sz="6" w:space="0" w:color="000000"/>
              <w:right w:val="nil"/>
            </w:tcBorders>
            <w:shd w:val="clear" w:color="auto" w:fill="B8DABA"/>
            <w:vAlign w:val="center"/>
            <w:hideMark/>
          </w:tcPr>
          <w:p w14:paraId="03F192B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11,59%</w:t>
            </w:r>
          </w:p>
        </w:tc>
        <w:tc>
          <w:tcPr>
            <w:tcW w:w="0" w:type="auto"/>
            <w:tcBorders>
              <w:top w:val="nil"/>
              <w:left w:val="nil"/>
              <w:bottom w:val="single" w:sz="6" w:space="0" w:color="000000"/>
              <w:right w:val="nil"/>
            </w:tcBorders>
            <w:shd w:val="clear" w:color="auto" w:fill="DBEDDC"/>
            <w:vAlign w:val="center"/>
            <w:hideMark/>
          </w:tcPr>
          <w:p w14:paraId="659625E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10,12%</w:t>
            </w:r>
          </w:p>
        </w:tc>
        <w:tc>
          <w:tcPr>
            <w:tcW w:w="0" w:type="auto"/>
            <w:tcBorders>
              <w:top w:val="nil"/>
              <w:left w:val="nil"/>
              <w:bottom w:val="single" w:sz="6" w:space="0" w:color="000000"/>
              <w:right w:val="nil"/>
            </w:tcBorders>
            <w:shd w:val="clear" w:color="auto" w:fill="DBEDDC"/>
            <w:vAlign w:val="center"/>
            <w:hideMark/>
          </w:tcPr>
          <w:p w14:paraId="4C3934A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9,63%</w:t>
            </w:r>
          </w:p>
        </w:tc>
      </w:tr>
      <w:tr w:rsidR="00344381" w:rsidRPr="00A15598" w14:paraId="50BA1626" w14:textId="77777777" w:rsidTr="00344381">
        <w:trPr>
          <w:jc w:val="center"/>
        </w:trPr>
        <w:tc>
          <w:tcPr>
            <w:tcW w:w="0" w:type="auto"/>
            <w:tcBorders>
              <w:top w:val="single" w:sz="6" w:space="0" w:color="000000"/>
              <w:bottom w:val="single" w:sz="6" w:space="0" w:color="000000"/>
            </w:tcBorders>
            <w:shd w:val="clear" w:color="auto" w:fill="C0C0C0"/>
            <w:vAlign w:val="center"/>
            <w:hideMark/>
          </w:tcPr>
          <w:p w14:paraId="01B98A71"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15" w:name="idm508128"/>
            <w:bookmarkEnd w:id="15"/>
            <w:r w:rsidRPr="00A15598">
              <w:rPr>
                <w:rFonts w:eastAsia="Times New Roman" w:cstheme="minorHAnsi"/>
                <w:b/>
                <w:bCs/>
                <w:sz w:val="24"/>
                <w:szCs w:val="24"/>
                <w:lang w:eastAsia="es-CO"/>
              </w:rPr>
              <w:t>15</w:t>
            </w:r>
          </w:p>
        </w:tc>
        <w:tc>
          <w:tcPr>
            <w:tcW w:w="0" w:type="auto"/>
            <w:tcBorders>
              <w:top w:val="nil"/>
              <w:left w:val="nil"/>
              <w:bottom w:val="single" w:sz="6" w:space="0" w:color="000000"/>
              <w:right w:val="nil"/>
            </w:tcBorders>
            <w:shd w:val="clear" w:color="auto" w:fill="FFFF7A"/>
            <w:vAlign w:val="center"/>
            <w:hideMark/>
          </w:tcPr>
          <w:p w14:paraId="4600B4C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6,21%</w:t>
            </w:r>
          </w:p>
        </w:tc>
        <w:tc>
          <w:tcPr>
            <w:tcW w:w="0" w:type="auto"/>
            <w:tcBorders>
              <w:top w:val="nil"/>
              <w:left w:val="nil"/>
              <w:bottom w:val="single" w:sz="6" w:space="0" w:color="000000"/>
              <w:right w:val="nil"/>
            </w:tcBorders>
            <w:shd w:val="clear" w:color="auto" w:fill="FFFF7A"/>
            <w:vAlign w:val="center"/>
            <w:hideMark/>
          </w:tcPr>
          <w:p w14:paraId="24249BE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6,27%</w:t>
            </w:r>
          </w:p>
        </w:tc>
        <w:tc>
          <w:tcPr>
            <w:tcW w:w="0" w:type="auto"/>
            <w:tcBorders>
              <w:top w:val="nil"/>
              <w:left w:val="nil"/>
              <w:bottom w:val="single" w:sz="6" w:space="0" w:color="000000"/>
              <w:right w:val="nil"/>
            </w:tcBorders>
            <w:shd w:val="clear" w:color="auto" w:fill="FFFF7A"/>
            <w:vAlign w:val="center"/>
            <w:hideMark/>
          </w:tcPr>
          <w:p w14:paraId="2B7CBFD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6,88%</w:t>
            </w:r>
          </w:p>
        </w:tc>
        <w:tc>
          <w:tcPr>
            <w:tcW w:w="0" w:type="auto"/>
            <w:tcBorders>
              <w:top w:val="nil"/>
              <w:left w:val="nil"/>
              <w:bottom w:val="single" w:sz="6" w:space="0" w:color="000000"/>
              <w:right w:val="nil"/>
            </w:tcBorders>
            <w:shd w:val="clear" w:color="auto" w:fill="FFFF7A"/>
            <w:vAlign w:val="center"/>
            <w:hideMark/>
          </w:tcPr>
          <w:p w14:paraId="6BD837F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6,56%</w:t>
            </w:r>
          </w:p>
        </w:tc>
        <w:tc>
          <w:tcPr>
            <w:tcW w:w="0" w:type="auto"/>
            <w:tcBorders>
              <w:top w:val="nil"/>
              <w:left w:val="nil"/>
              <w:bottom w:val="single" w:sz="6" w:space="0" w:color="000000"/>
              <w:right w:val="nil"/>
            </w:tcBorders>
            <w:shd w:val="clear" w:color="auto" w:fill="FFFF7A"/>
            <w:vAlign w:val="center"/>
            <w:hideMark/>
          </w:tcPr>
          <w:p w14:paraId="60E762D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7,42%</w:t>
            </w:r>
          </w:p>
        </w:tc>
        <w:tc>
          <w:tcPr>
            <w:tcW w:w="0" w:type="auto"/>
            <w:tcBorders>
              <w:top w:val="nil"/>
              <w:left w:val="nil"/>
              <w:bottom w:val="single" w:sz="6" w:space="0" w:color="000000"/>
              <w:right w:val="nil"/>
            </w:tcBorders>
            <w:shd w:val="clear" w:color="auto" w:fill="B8DABA"/>
            <w:vAlign w:val="center"/>
            <w:hideMark/>
          </w:tcPr>
          <w:p w14:paraId="27C855E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6,24%</w:t>
            </w:r>
          </w:p>
        </w:tc>
        <w:tc>
          <w:tcPr>
            <w:tcW w:w="0" w:type="auto"/>
            <w:tcBorders>
              <w:top w:val="nil"/>
              <w:left w:val="nil"/>
              <w:bottom w:val="single" w:sz="6" w:space="0" w:color="000000"/>
              <w:right w:val="nil"/>
            </w:tcBorders>
            <w:shd w:val="clear" w:color="auto" w:fill="FFFF7A"/>
            <w:vAlign w:val="center"/>
            <w:hideMark/>
          </w:tcPr>
          <w:p w14:paraId="4B938F4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5,02%</w:t>
            </w:r>
          </w:p>
        </w:tc>
        <w:tc>
          <w:tcPr>
            <w:tcW w:w="0" w:type="auto"/>
            <w:tcBorders>
              <w:top w:val="nil"/>
              <w:left w:val="nil"/>
              <w:bottom w:val="single" w:sz="6" w:space="0" w:color="000000"/>
              <w:right w:val="nil"/>
            </w:tcBorders>
            <w:shd w:val="clear" w:color="auto" w:fill="FFFF7A"/>
            <w:vAlign w:val="center"/>
            <w:hideMark/>
          </w:tcPr>
          <w:p w14:paraId="76EC57E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4,74%</w:t>
            </w:r>
          </w:p>
        </w:tc>
        <w:tc>
          <w:tcPr>
            <w:tcW w:w="0" w:type="auto"/>
            <w:tcBorders>
              <w:top w:val="nil"/>
              <w:left w:val="nil"/>
              <w:bottom w:val="single" w:sz="6" w:space="0" w:color="000000"/>
              <w:right w:val="nil"/>
            </w:tcBorders>
            <w:shd w:val="clear" w:color="auto" w:fill="FFFF7A"/>
            <w:vAlign w:val="center"/>
            <w:hideMark/>
          </w:tcPr>
          <w:p w14:paraId="63F5333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5,83%</w:t>
            </w:r>
          </w:p>
        </w:tc>
      </w:tr>
      <w:tr w:rsidR="00344381" w:rsidRPr="00A15598" w14:paraId="44BD9B29" w14:textId="77777777" w:rsidTr="00344381">
        <w:trPr>
          <w:jc w:val="center"/>
        </w:trPr>
        <w:tc>
          <w:tcPr>
            <w:tcW w:w="0" w:type="auto"/>
            <w:tcBorders>
              <w:top w:val="single" w:sz="6" w:space="0" w:color="000000"/>
              <w:bottom w:val="single" w:sz="6" w:space="0" w:color="000000"/>
            </w:tcBorders>
            <w:shd w:val="clear" w:color="auto" w:fill="A9A9A9"/>
            <w:vAlign w:val="center"/>
            <w:hideMark/>
          </w:tcPr>
          <w:p w14:paraId="0DF09BDB"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16" w:name="idm497888"/>
            <w:bookmarkEnd w:id="16"/>
            <w:r w:rsidRPr="00A15598">
              <w:rPr>
                <w:rFonts w:eastAsia="Times New Roman" w:cstheme="minorHAnsi"/>
                <w:b/>
                <w:bCs/>
                <w:sz w:val="24"/>
                <w:szCs w:val="24"/>
                <w:lang w:eastAsia="es-CO"/>
              </w:rPr>
              <w:t>16</w:t>
            </w:r>
          </w:p>
        </w:tc>
        <w:tc>
          <w:tcPr>
            <w:tcW w:w="0" w:type="auto"/>
            <w:tcBorders>
              <w:top w:val="nil"/>
              <w:left w:val="nil"/>
              <w:bottom w:val="single" w:sz="6" w:space="0" w:color="000000"/>
              <w:right w:val="nil"/>
            </w:tcBorders>
            <w:shd w:val="clear" w:color="auto" w:fill="FFFF7A"/>
            <w:vAlign w:val="center"/>
            <w:hideMark/>
          </w:tcPr>
          <w:p w14:paraId="6297D12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5,16%</w:t>
            </w:r>
          </w:p>
        </w:tc>
        <w:tc>
          <w:tcPr>
            <w:tcW w:w="0" w:type="auto"/>
            <w:tcBorders>
              <w:top w:val="nil"/>
              <w:left w:val="nil"/>
              <w:bottom w:val="single" w:sz="6" w:space="0" w:color="000000"/>
              <w:right w:val="nil"/>
            </w:tcBorders>
            <w:shd w:val="clear" w:color="auto" w:fill="FFFF7A"/>
            <w:vAlign w:val="center"/>
            <w:hideMark/>
          </w:tcPr>
          <w:p w14:paraId="7540F3D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4,64%</w:t>
            </w:r>
          </w:p>
        </w:tc>
        <w:tc>
          <w:tcPr>
            <w:tcW w:w="0" w:type="auto"/>
            <w:tcBorders>
              <w:top w:val="nil"/>
              <w:left w:val="nil"/>
              <w:bottom w:val="single" w:sz="6" w:space="0" w:color="000000"/>
              <w:right w:val="nil"/>
            </w:tcBorders>
            <w:shd w:val="clear" w:color="auto" w:fill="FFFF7A"/>
            <w:vAlign w:val="center"/>
            <w:hideMark/>
          </w:tcPr>
          <w:p w14:paraId="57D7F51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5,39%</w:t>
            </w:r>
          </w:p>
        </w:tc>
        <w:tc>
          <w:tcPr>
            <w:tcW w:w="0" w:type="auto"/>
            <w:tcBorders>
              <w:top w:val="nil"/>
              <w:left w:val="nil"/>
              <w:bottom w:val="single" w:sz="6" w:space="0" w:color="000000"/>
              <w:right w:val="nil"/>
            </w:tcBorders>
            <w:shd w:val="clear" w:color="auto" w:fill="FFFF7A"/>
            <w:vAlign w:val="center"/>
            <w:hideMark/>
          </w:tcPr>
          <w:p w14:paraId="12E2802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5,12%</w:t>
            </w:r>
          </w:p>
        </w:tc>
        <w:tc>
          <w:tcPr>
            <w:tcW w:w="0" w:type="auto"/>
            <w:tcBorders>
              <w:top w:val="nil"/>
              <w:left w:val="nil"/>
              <w:bottom w:val="single" w:sz="6" w:space="0" w:color="000000"/>
              <w:right w:val="nil"/>
            </w:tcBorders>
            <w:shd w:val="clear" w:color="auto" w:fill="FFFF7A"/>
            <w:vAlign w:val="center"/>
            <w:hideMark/>
          </w:tcPr>
          <w:p w14:paraId="165AF0E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5,39%</w:t>
            </w:r>
          </w:p>
        </w:tc>
        <w:tc>
          <w:tcPr>
            <w:tcW w:w="0" w:type="auto"/>
            <w:tcBorders>
              <w:top w:val="nil"/>
              <w:left w:val="nil"/>
              <w:bottom w:val="single" w:sz="6" w:space="0" w:color="000000"/>
              <w:right w:val="nil"/>
            </w:tcBorders>
            <w:shd w:val="clear" w:color="auto" w:fill="FFFF7A"/>
            <w:vAlign w:val="center"/>
            <w:hideMark/>
          </w:tcPr>
          <w:p w14:paraId="39D858C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4,89%</w:t>
            </w:r>
          </w:p>
        </w:tc>
        <w:tc>
          <w:tcPr>
            <w:tcW w:w="0" w:type="auto"/>
            <w:tcBorders>
              <w:top w:val="nil"/>
              <w:left w:val="nil"/>
              <w:bottom w:val="single" w:sz="6" w:space="0" w:color="000000"/>
              <w:right w:val="nil"/>
            </w:tcBorders>
            <w:shd w:val="clear" w:color="auto" w:fill="FFFF7A"/>
            <w:vAlign w:val="center"/>
            <w:hideMark/>
          </w:tcPr>
          <w:p w14:paraId="3BD2D77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4,44%</w:t>
            </w:r>
          </w:p>
        </w:tc>
        <w:tc>
          <w:tcPr>
            <w:tcW w:w="0" w:type="auto"/>
            <w:tcBorders>
              <w:top w:val="nil"/>
              <w:left w:val="nil"/>
              <w:bottom w:val="single" w:sz="6" w:space="0" w:color="000000"/>
              <w:right w:val="nil"/>
            </w:tcBorders>
            <w:shd w:val="clear" w:color="auto" w:fill="F4A460"/>
            <w:vAlign w:val="center"/>
            <w:hideMark/>
          </w:tcPr>
          <w:p w14:paraId="22A0857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3,82%</w:t>
            </w:r>
          </w:p>
        </w:tc>
        <w:tc>
          <w:tcPr>
            <w:tcW w:w="0" w:type="auto"/>
            <w:tcBorders>
              <w:top w:val="nil"/>
              <w:left w:val="nil"/>
              <w:bottom w:val="single" w:sz="6" w:space="0" w:color="000000"/>
              <w:right w:val="nil"/>
            </w:tcBorders>
            <w:shd w:val="clear" w:color="auto" w:fill="FFFF7A"/>
            <w:vAlign w:val="center"/>
            <w:hideMark/>
          </w:tcPr>
          <w:p w14:paraId="032BDCA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4,66%</w:t>
            </w:r>
          </w:p>
        </w:tc>
      </w:tr>
      <w:tr w:rsidR="00344381" w:rsidRPr="00A15598" w14:paraId="1F2FAF1F" w14:textId="77777777" w:rsidTr="00344381">
        <w:trPr>
          <w:jc w:val="center"/>
        </w:trPr>
        <w:tc>
          <w:tcPr>
            <w:tcW w:w="0" w:type="auto"/>
            <w:tcBorders>
              <w:top w:val="single" w:sz="6" w:space="0" w:color="000000"/>
              <w:bottom w:val="single" w:sz="6" w:space="0" w:color="000000"/>
            </w:tcBorders>
            <w:shd w:val="clear" w:color="auto" w:fill="C0C0C0"/>
            <w:vAlign w:val="center"/>
            <w:hideMark/>
          </w:tcPr>
          <w:p w14:paraId="38F64439" w14:textId="77777777" w:rsidR="00344381" w:rsidRPr="00A15598" w:rsidRDefault="00344381" w:rsidP="00344381">
            <w:pPr>
              <w:spacing w:after="0" w:line="240" w:lineRule="auto"/>
              <w:jc w:val="both"/>
              <w:rPr>
                <w:rFonts w:eastAsia="Times New Roman" w:cstheme="minorHAnsi"/>
                <w:b/>
                <w:bCs/>
                <w:sz w:val="24"/>
                <w:szCs w:val="24"/>
                <w:lang w:eastAsia="es-CO"/>
              </w:rPr>
            </w:pPr>
            <w:bookmarkStart w:id="17" w:name="idm487648"/>
            <w:bookmarkEnd w:id="17"/>
            <w:r w:rsidRPr="00A15598">
              <w:rPr>
                <w:rFonts w:eastAsia="Times New Roman" w:cstheme="minorHAnsi"/>
                <w:b/>
                <w:bCs/>
                <w:sz w:val="24"/>
                <w:szCs w:val="24"/>
                <w:lang w:eastAsia="es-CO"/>
              </w:rPr>
              <w:t>17</w:t>
            </w:r>
          </w:p>
        </w:tc>
        <w:tc>
          <w:tcPr>
            <w:tcW w:w="0" w:type="auto"/>
            <w:tcBorders>
              <w:top w:val="nil"/>
              <w:left w:val="nil"/>
              <w:bottom w:val="single" w:sz="6" w:space="0" w:color="000000"/>
              <w:right w:val="nil"/>
            </w:tcBorders>
            <w:shd w:val="clear" w:color="auto" w:fill="FFFF7A"/>
            <w:vAlign w:val="center"/>
            <w:hideMark/>
          </w:tcPr>
          <w:p w14:paraId="5AA3FE6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4,41%</w:t>
            </w:r>
          </w:p>
        </w:tc>
        <w:tc>
          <w:tcPr>
            <w:tcW w:w="0" w:type="auto"/>
            <w:tcBorders>
              <w:top w:val="nil"/>
              <w:left w:val="nil"/>
              <w:bottom w:val="single" w:sz="6" w:space="0" w:color="000000"/>
              <w:right w:val="nil"/>
            </w:tcBorders>
            <w:shd w:val="clear" w:color="auto" w:fill="FFFF7A"/>
            <w:vAlign w:val="center"/>
            <w:hideMark/>
          </w:tcPr>
          <w:p w14:paraId="606351A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4,25%</w:t>
            </w:r>
          </w:p>
        </w:tc>
        <w:tc>
          <w:tcPr>
            <w:tcW w:w="0" w:type="auto"/>
            <w:tcBorders>
              <w:top w:val="nil"/>
              <w:left w:val="nil"/>
              <w:bottom w:val="single" w:sz="6" w:space="0" w:color="000000"/>
              <w:right w:val="nil"/>
            </w:tcBorders>
            <w:shd w:val="clear" w:color="auto" w:fill="FFFF7A"/>
            <w:vAlign w:val="center"/>
            <w:hideMark/>
          </w:tcPr>
          <w:p w14:paraId="5D40D2F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4,26%</w:t>
            </w:r>
          </w:p>
        </w:tc>
        <w:tc>
          <w:tcPr>
            <w:tcW w:w="0" w:type="auto"/>
            <w:tcBorders>
              <w:top w:val="nil"/>
              <w:left w:val="nil"/>
              <w:bottom w:val="single" w:sz="6" w:space="0" w:color="000000"/>
              <w:right w:val="nil"/>
            </w:tcBorders>
            <w:shd w:val="clear" w:color="auto" w:fill="F4A460"/>
            <w:vAlign w:val="center"/>
            <w:hideMark/>
          </w:tcPr>
          <w:p w14:paraId="1AE9BF9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4,02%</w:t>
            </w:r>
          </w:p>
        </w:tc>
        <w:tc>
          <w:tcPr>
            <w:tcW w:w="0" w:type="auto"/>
            <w:tcBorders>
              <w:top w:val="nil"/>
              <w:left w:val="nil"/>
              <w:bottom w:val="single" w:sz="6" w:space="0" w:color="000000"/>
              <w:right w:val="nil"/>
            </w:tcBorders>
            <w:shd w:val="clear" w:color="auto" w:fill="FFFF7A"/>
            <w:vAlign w:val="center"/>
            <w:hideMark/>
          </w:tcPr>
          <w:p w14:paraId="1467113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4,88%</w:t>
            </w:r>
          </w:p>
        </w:tc>
        <w:tc>
          <w:tcPr>
            <w:tcW w:w="0" w:type="auto"/>
            <w:tcBorders>
              <w:top w:val="nil"/>
              <w:left w:val="nil"/>
              <w:bottom w:val="single" w:sz="6" w:space="0" w:color="000000"/>
              <w:right w:val="nil"/>
            </w:tcBorders>
            <w:shd w:val="clear" w:color="auto" w:fill="F4A460"/>
            <w:vAlign w:val="center"/>
            <w:hideMark/>
          </w:tcPr>
          <w:p w14:paraId="510C484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4,12%</w:t>
            </w:r>
          </w:p>
        </w:tc>
        <w:tc>
          <w:tcPr>
            <w:tcW w:w="0" w:type="auto"/>
            <w:tcBorders>
              <w:top w:val="nil"/>
              <w:left w:val="nil"/>
              <w:bottom w:val="single" w:sz="6" w:space="0" w:color="000000"/>
              <w:right w:val="nil"/>
            </w:tcBorders>
            <w:shd w:val="clear" w:color="auto" w:fill="F4A460"/>
            <w:vAlign w:val="center"/>
            <w:hideMark/>
          </w:tcPr>
          <w:p w14:paraId="5F3D380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3,00%</w:t>
            </w:r>
          </w:p>
        </w:tc>
        <w:tc>
          <w:tcPr>
            <w:tcW w:w="0" w:type="auto"/>
            <w:tcBorders>
              <w:top w:val="nil"/>
              <w:left w:val="nil"/>
              <w:bottom w:val="single" w:sz="6" w:space="0" w:color="000000"/>
              <w:right w:val="nil"/>
            </w:tcBorders>
            <w:shd w:val="clear" w:color="auto" w:fill="F4A460"/>
            <w:vAlign w:val="center"/>
            <w:hideMark/>
          </w:tcPr>
          <w:p w14:paraId="4A9AA6B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2,90%</w:t>
            </w:r>
          </w:p>
        </w:tc>
        <w:tc>
          <w:tcPr>
            <w:tcW w:w="0" w:type="auto"/>
            <w:tcBorders>
              <w:top w:val="nil"/>
              <w:left w:val="nil"/>
              <w:bottom w:val="single" w:sz="6" w:space="0" w:color="000000"/>
              <w:right w:val="nil"/>
            </w:tcBorders>
            <w:shd w:val="clear" w:color="auto" w:fill="F4A460"/>
            <w:vAlign w:val="center"/>
            <w:hideMark/>
          </w:tcPr>
          <w:p w14:paraId="29FB0D0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3,57%</w:t>
            </w:r>
          </w:p>
        </w:tc>
      </w:tr>
    </w:tbl>
    <w:p w14:paraId="44C4E7DC" w14:textId="761C1044" w:rsidR="00344381" w:rsidRPr="00A15598" w:rsidRDefault="00344381" w:rsidP="009A79F2">
      <w:pPr>
        <w:jc w:val="center"/>
        <w:rPr>
          <w:rFonts w:cstheme="minorHAnsi"/>
          <w:sz w:val="24"/>
          <w:szCs w:val="24"/>
          <w:shd w:val="clear" w:color="auto" w:fill="FFFFFF"/>
        </w:rPr>
      </w:pPr>
      <w:r w:rsidRPr="00A15598">
        <w:rPr>
          <w:rFonts w:cstheme="minorHAnsi"/>
          <w:sz w:val="24"/>
          <w:szCs w:val="24"/>
          <w:shd w:val="clear" w:color="auto" w:fill="FFFFFF"/>
        </w:rPr>
        <w:t>Tabla 1. Delitos Sexuales entre 2010-2018</w:t>
      </w:r>
    </w:p>
    <w:p w14:paraId="50FFB318" w14:textId="2DA8F166" w:rsidR="00344381" w:rsidRPr="00A15598" w:rsidRDefault="00344381" w:rsidP="00344381">
      <w:pPr>
        <w:jc w:val="both"/>
        <w:rPr>
          <w:rFonts w:cstheme="minorHAnsi"/>
          <w:sz w:val="24"/>
          <w:szCs w:val="24"/>
        </w:rPr>
      </w:pPr>
      <w:r w:rsidRPr="00A15598">
        <w:rPr>
          <w:rFonts w:cstheme="minorHAnsi"/>
          <w:sz w:val="24"/>
          <w:szCs w:val="24"/>
        </w:rPr>
        <w:t>Con miras a establecer estas garantías, la Corte Constitucional en Sentencia T- 512 de 2016</w:t>
      </w:r>
      <w:r w:rsidRPr="00A15598">
        <w:rPr>
          <w:rStyle w:val="Refdenotaalpie"/>
          <w:rFonts w:cstheme="minorHAnsi"/>
          <w:sz w:val="24"/>
          <w:szCs w:val="24"/>
        </w:rPr>
        <w:footnoteReference w:id="6"/>
      </w:r>
      <w:r w:rsidRPr="00A15598">
        <w:rPr>
          <w:rFonts w:cstheme="minorHAnsi"/>
          <w:sz w:val="24"/>
          <w:szCs w:val="24"/>
        </w:rPr>
        <w:t>, evidenció un vacío legislativo sobre la creación de un régimen de inhabilidad en términos de idoneidad de los aspirantes condenados por delitos sexuales, con menores</w:t>
      </w:r>
      <w:r w:rsidR="00602F99" w:rsidRPr="00A15598">
        <w:rPr>
          <w:rFonts w:cstheme="minorHAnsi"/>
          <w:sz w:val="24"/>
          <w:szCs w:val="24"/>
        </w:rPr>
        <w:t xml:space="preserve"> </w:t>
      </w:r>
      <w:r w:rsidRPr="00A15598">
        <w:rPr>
          <w:rFonts w:cstheme="minorHAnsi"/>
          <w:sz w:val="24"/>
          <w:szCs w:val="24"/>
        </w:rPr>
        <w:t xml:space="preserve">(caso del rector nombrado luego de ser condenado por los delitos de acceso carnal abusivo con menor de 14 años, en concurso homogéneo agravado con pornografía infantil); en dicho </w:t>
      </w:r>
      <w:r w:rsidRPr="00A15598">
        <w:rPr>
          <w:rFonts w:cstheme="minorHAnsi"/>
          <w:sz w:val="24"/>
          <w:szCs w:val="24"/>
        </w:rPr>
        <w:lastRenderedPageBreak/>
        <w:t>fallo, exhortó a las entidades competentes, entre ellos al Congreso de la República, a establecer un marco de protección vigoroso de los derechos fundamentales de los niños, niñas y adolescentes, que refleje su interés superior y la prevalencia de sus derechos fundamentales, adoptando un régimen de inhabilidades para aquellos cargos que demanden altos estándares de idoneidad.</w:t>
      </w:r>
      <w:r w:rsidRPr="00A15598">
        <w:rPr>
          <w:rFonts w:eastAsia="Times New Roman" w:cstheme="minorHAnsi"/>
          <w:sz w:val="24"/>
          <w:szCs w:val="24"/>
          <w:lang w:val="es-ES_tradnl" w:eastAsia="es-ES"/>
        </w:rPr>
        <w:t xml:space="preserve"> </w:t>
      </w:r>
    </w:p>
    <w:p w14:paraId="7C868731" w14:textId="77777777" w:rsidR="00344381" w:rsidRPr="00A15598" w:rsidRDefault="00344381" w:rsidP="00344381">
      <w:pPr>
        <w:jc w:val="both"/>
        <w:rPr>
          <w:rFonts w:cstheme="minorHAnsi"/>
          <w:sz w:val="24"/>
          <w:szCs w:val="24"/>
          <w:shd w:val="clear" w:color="auto" w:fill="FFFFFF"/>
        </w:rPr>
      </w:pPr>
      <w:r w:rsidRPr="00A15598">
        <w:rPr>
          <w:rFonts w:cstheme="minorHAnsi"/>
          <w:sz w:val="24"/>
          <w:szCs w:val="24"/>
        </w:rPr>
        <w:t>En pronunciamiento de esta Corporación se aludió: “La Sala es consciente de la posibilidad de que existan ciertos escenarios concretos en los cuales algunos particulares precisen tener conocimiento sobre si alguien registra antecedentes penales o no. En la tabla 2 se muestran los d</w:t>
      </w:r>
      <w:r w:rsidRPr="00A15598">
        <w:rPr>
          <w:rFonts w:cstheme="minorHAnsi"/>
          <w:sz w:val="24"/>
          <w:szCs w:val="24"/>
          <w:shd w:val="clear" w:color="auto" w:fill="FFFFFF"/>
        </w:rPr>
        <w:t>elitos sexuales en contra de menores de edad 2010-2018, diferenciados por lugar del hecho reportado en el SIEDCO (% del total anual).</w:t>
      </w:r>
      <w:r w:rsidRPr="00A15598">
        <w:rPr>
          <w:rStyle w:val="Refdenotaalpie"/>
          <w:rFonts w:cstheme="minorHAnsi"/>
          <w:sz w:val="24"/>
          <w:szCs w:val="24"/>
          <w:shd w:val="clear" w:color="auto" w:fill="FFFFFF"/>
        </w:rPr>
        <w:footnoteReference w:id="7"/>
      </w:r>
    </w:p>
    <w:tbl>
      <w:tblPr>
        <w:tblpPr w:leftFromText="141" w:rightFromText="141" w:vertAnchor="text" w:horzAnchor="margin" w:tblpXSpec="center" w:tblpY="332"/>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95"/>
        <w:gridCol w:w="627"/>
        <w:gridCol w:w="627"/>
        <w:gridCol w:w="627"/>
        <w:gridCol w:w="627"/>
        <w:gridCol w:w="627"/>
        <w:gridCol w:w="627"/>
        <w:gridCol w:w="627"/>
        <w:gridCol w:w="627"/>
        <w:gridCol w:w="627"/>
      </w:tblGrid>
      <w:tr w:rsidR="00344381" w:rsidRPr="00A15598" w14:paraId="174A61C4" w14:textId="77777777" w:rsidTr="00344381">
        <w:trPr>
          <w:tblHeader/>
        </w:trPr>
        <w:tc>
          <w:tcPr>
            <w:tcW w:w="0" w:type="auto"/>
            <w:tcBorders>
              <w:top w:val="single" w:sz="6" w:space="0" w:color="000000"/>
              <w:bottom w:val="single" w:sz="6" w:space="0" w:color="000000"/>
            </w:tcBorders>
            <w:shd w:val="clear" w:color="auto" w:fill="A9A9A9"/>
            <w:vAlign w:val="center"/>
            <w:hideMark/>
          </w:tcPr>
          <w:p w14:paraId="4FFD5D15"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Tipo de lugar</w:t>
            </w:r>
          </w:p>
        </w:tc>
        <w:tc>
          <w:tcPr>
            <w:tcW w:w="0" w:type="auto"/>
            <w:tcBorders>
              <w:top w:val="single" w:sz="6" w:space="0" w:color="000000"/>
              <w:bottom w:val="single" w:sz="6" w:space="0" w:color="000000"/>
            </w:tcBorders>
            <w:shd w:val="clear" w:color="auto" w:fill="A9A9A9"/>
            <w:vAlign w:val="center"/>
            <w:hideMark/>
          </w:tcPr>
          <w:p w14:paraId="45E8D940"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2010</w:t>
            </w:r>
          </w:p>
        </w:tc>
        <w:tc>
          <w:tcPr>
            <w:tcW w:w="0" w:type="auto"/>
            <w:tcBorders>
              <w:top w:val="single" w:sz="6" w:space="0" w:color="000000"/>
              <w:bottom w:val="single" w:sz="6" w:space="0" w:color="000000"/>
            </w:tcBorders>
            <w:shd w:val="clear" w:color="auto" w:fill="A9A9A9"/>
            <w:vAlign w:val="center"/>
            <w:hideMark/>
          </w:tcPr>
          <w:p w14:paraId="10E3584D"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2011</w:t>
            </w:r>
          </w:p>
        </w:tc>
        <w:tc>
          <w:tcPr>
            <w:tcW w:w="0" w:type="auto"/>
            <w:tcBorders>
              <w:top w:val="single" w:sz="6" w:space="0" w:color="000000"/>
              <w:bottom w:val="single" w:sz="6" w:space="0" w:color="000000"/>
            </w:tcBorders>
            <w:shd w:val="clear" w:color="auto" w:fill="A9A9A9"/>
            <w:vAlign w:val="center"/>
            <w:hideMark/>
          </w:tcPr>
          <w:p w14:paraId="7CBF3299"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2012</w:t>
            </w:r>
          </w:p>
        </w:tc>
        <w:tc>
          <w:tcPr>
            <w:tcW w:w="0" w:type="auto"/>
            <w:tcBorders>
              <w:top w:val="single" w:sz="6" w:space="0" w:color="000000"/>
              <w:bottom w:val="single" w:sz="6" w:space="0" w:color="000000"/>
            </w:tcBorders>
            <w:shd w:val="clear" w:color="auto" w:fill="A9A9A9"/>
            <w:vAlign w:val="center"/>
            <w:hideMark/>
          </w:tcPr>
          <w:p w14:paraId="4E05135D"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2013</w:t>
            </w:r>
          </w:p>
        </w:tc>
        <w:tc>
          <w:tcPr>
            <w:tcW w:w="0" w:type="auto"/>
            <w:tcBorders>
              <w:top w:val="single" w:sz="6" w:space="0" w:color="000000"/>
              <w:bottom w:val="single" w:sz="6" w:space="0" w:color="000000"/>
            </w:tcBorders>
            <w:shd w:val="clear" w:color="auto" w:fill="A9A9A9"/>
            <w:vAlign w:val="center"/>
            <w:hideMark/>
          </w:tcPr>
          <w:p w14:paraId="33C4B353"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2014</w:t>
            </w:r>
          </w:p>
        </w:tc>
        <w:tc>
          <w:tcPr>
            <w:tcW w:w="0" w:type="auto"/>
            <w:tcBorders>
              <w:top w:val="single" w:sz="6" w:space="0" w:color="000000"/>
              <w:bottom w:val="single" w:sz="6" w:space="0" w:color="000000"/>
            </w:tcBorders>
            <w:shd w:val="clear" w:color="auto" w:fill="A9A9A9"/>
            <w:vAlign w:val="center"/>
            <w:hideMark/>
          </w:tcPr>
          <w:p w14:paraId="1C203725"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2015</w:t>
            </w:r>
          </w:p>
        </w:tc>
        <w:tc>
          <w:tcPr>
            <w:tcW w:w="0" w:type="auto"/>
            <w:tcBorders>
              <w:top w:val="single" w:sz="6" w:space="0" w:color="000000"/>
              <w:bottom w:val="single" w:sz="6" w:space="0" w:color="000000"/>
            </w:tcBorders>
            <w:shd w:val="clear" w:color="auto" w:fill="A9A9A9"/>
            <w:vAlign w:val="center"/>
            <w:hideMark/>
          </w:tcPr>
          <w:p w14:paraId="1AF03E91"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2016</w:t>
            </w:r>
          </w:p>
        </w:tc>
        <w:tc>
          <w:tcPr>
            <w:tcW w:w="0" w:type="auto"/>
            <w:tcBorders>
              <w:top w:val="single" w:sz="6" w:space="0" w:color="000000"/>
              <w:bottom w:val="single" w:sz="6" w:space="0" w:color="000000"/>
            </w:tcBorders>
            <w:shd w:val="clear" w:color="auto" w:fill="A9A9A9"/>
            <w:vAlign w:val="center"/>
            <w:hideMark/>
          </w:tcPr>
          <w:p w14:paraId="0D9CF607"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2017</w:t>
            </w:r>
          </w:p>
        </w:tc>
        <w:tc>
          <w:tcPr>
            <w:tcW w:w="0" w:type="auto"/>
            <w:tcBorders>
              <w:top w:val="single" w:sz="6" w:space="0" w:color="000000"/>
              <w:bottom w:val="single" w:sz="6" w:space="0" w:color="000000"/>
            </w:tcBorders>
            <w:shd w:val="clear" w:color="auto" w:fill="A9A9A9"/>
            <w:vAlign w:val="center"/>
            <w:hideMark/>
          </w:tcPr>
          <w:p w14:paraId="59972A9B" w14:textId="77777777"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2018</w:t>
            </w:r>
          </w:p>
        </w:tc>
      </w:tr>
      <w:tr w:rsidR="00344381" w:rsidRPr="00A15598" w14:paraId="4934F7ED" w14:textId="77777777" w:rsidTr="00344381">
        <w:tc>
          <w:tcPr>
            <w:tcW w:w="0" w:type="auto"/>
            <w:tcBorders>
              <w:top w:val="nil"/>
              <w:left w:val="nil"/>
              <w:bottom w:val="single" w:sz="6" w:space="0" w:color="000000"/>
              <w:right w:val="nil"/>
            </w:tcBorders>
            <w:shd w:val="clear" w:color="auto" w:fill="A9A9A9"/>
            <w:vAlign w:val="center"/>
            <w:hideMark/>
          </w:tcPr>
          <w:p w14:paraId="1B954D6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Vías públicas</w:t>
            </w:r>
          </w:p>
        </w:tc>
        <w:tc>
          <w:tcPr>
            <w:tcW w:w="0" w:type="auto"/>
            <w:tcBorders>
              <w:top w:val="nil"/>
              <w:left w:val="nil"/>
              <w:bottom w:val="single" w:sz="6" w:space="0" w:color="000000"/>
              <w:right w:val="nil"/>
            </w:tcBorders>
            <w:shd w:val="clear" w:color="auto" w:fill="FFFF7A"/>
            <w:vAlign w:val="center"/>
            <w:hideMark/>
          </w:tcPr>
          <w:p w14:paraId="49C85BC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22,5%</w:t>
            </w:r>
          </w:p>
        </w:tc>
        <w:tc>
          <w:tcPr>
            <w:tcW w:w="0" w:type="auto"/>
            <w:tcBorders>
              <w:top w:val="nil"/>
              <w:left w:val="nil"/>
              <w:bottom w:val="single" w:sz="6" w:space="0" w:color="000000"/>
              <w:right w:val="nil"/>
            </w:tcBorders>
            <w:shd w:val="clear" w:color="auto" w:fill="FFFF7A"/>
            <w:vAlign w:val="center"/>
            <w:hideMark/>
          </w:tcPr>
          <w:p w14:paraId="267529C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22,9%</w:t>
            </w:r>
          </w:p>
        </w:tc>
        <w:tc>
          <w:tcPr>
            <w:tcW w:w="0" w:type="auto"/>
            <w:tcBorders>
              <w:top w:val="nil"/>
              <w:left w:val="nil"/>
              <w:bottom w:val="single" w:sz="6" w:space="0" w:color="000000"/>
              <w:right w:val="nil"/>
            </w:tcBorders>
            <w:shd w:val="clear" w:color="auto" w:fill="FFFF7A"/>
            <w:vAlign w:val="center"/>
            <w:hideMark/>
          </w:tcPr>
          <w:p w14:paraId="77D053E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26,2%</w:t>
            </w:r>
          </w:p>
        </w:tc>
        <w:tc>
          <w:tcPr>
            <w:tcW w:w="0" w:type="auto"/>
            <w:tcBorders>
              <w:top w:val="nil"/>
              <w:left w:val="nil"/>
              <w:bottom w:val="single" w:sz="6" w:space="0" w:color="000000"/>
              <w:right w:val="nil"/>
            </w:tcBorders>
            <w:shd w:val="clear" w:color="auto" w:fill="FFFF7A"/>
            <w:vAlign w:val="center"/>
            <w:hideMark/>
          </w:tcPr>
          <w:p w14:paraId="0E3020B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24,0%</w:t>
            </w:r>
          </w:p>
        </w:tc>
        <w:tc>
          <w:tcPr>
            <w:tcW w:w="0" w:type="auto"/>
            <w:tcBorders>
              <w:top w:val="nil"/>
              <w:left w:val="nil"/>
              <w:bottom w:val="single" w:sz="6" w:space="0" w:color="000000"/>
              <w:right w:val="nil"/>
            </w:tcBorders>
            <w:shd w:val="clear" w:color="auto" w:fill="FFFF7A"/>
            <w:vAlign w:val="center"/>
            <w:hideMark/>
          </w:tcPr>
          <w:p w14:paraId="6762A9F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31,4%</w:t>
            </w:r>
          </w:p>
        </w:tc>
        <w:tc>
          <w:tcPr>
            <w:tcW w:w="0" w:type="auto"/>
            <w:tcBorders>
              <w:top w:val="nil"/>
              <w:left w:val="nil"/>
              <w:bottom w:val="single" w:sz="6" w:space="0" w:color="000000"/>
              <w:right w:val="nil"/>
            </w:tcBorders>
            <w:shd w:val="clear" w:color="auto" w:fill="B8DABA"/>
            <w:vAlign w:val="center"/>
            <w:hideMark/>
          </w:tcPr>
          <w:p w14:paraId="4F1F8B7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60,3%</w:t>
            </w:r>
          </w:p>
        </w:tc>
        <w:tc>
          <w:tcPr>
            <w:tcW w:w="0" w:type="auto"/>
            <w:tcBorders>
              <w:top w:val="nil"/>
              <w:left w:val="nil"/>
              <w:bottom w:val="single" w:sz="6" w:space="0" w:color="000000"/>
              <w:right w:val="nil"/>
            </w:tcBorders>
            <w:shd w:val="clear" w:color="auto" w:fill="B8DABA"/>
            <w:vAlign w:val="center"/>
            <w:hideMark/>
          </w:tcPr>
          <w:p w14:paraId="08368EE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62,8%</w:t>
            </w:r>
          </w:p>
        </w:tc>
        <w:tc>
          <w:tcPr>
            <w:tcW w:w="0" w:type="auto"/>
            <w:tcBorders>
              <w:top w:val="nil"/>
              <w:left w:val="nil"/>
              <w:bottom w:val="single" w:sz="6" w:space="0" w:color="000000"/>
              <w:right w:val="nil"/>
            </w:tcBorders>
            <w:shd w:val="clear" w:color="auto" w:fill="B8DABA"/>
            <w:vAlign w:val="center"/>
            <w:hideMark/>
          </w:tcPr>
          <w:p w14:paraId="3014132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57,1%</w:t>
            </w:r>
          </w:p>
        </w:tc>
        <w:tc>
          <w:tcPr>
            <w:tcW w:w="0" w:type="auto"/>
            <w:tcBorders>
              <w:top w:val="nil"/>
              <w:left w:val="nil"/>
              <w:bottom w:val="single" w:sz="6" w:space="0" w:color="000000"/>
              <w:right w:val="nil"/>
            </w:tcBorders>
            <w:shd w:val="clear" w:color="auto" w:fill="B8DABA"/>
            <w:vAlign w:val="center"/>
            <w:hideMark/>
          </w:tcPr>
          <w:p w14:paraId="0D2E6DB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53,2%</w:t>
            </w:r>
          </w:p>
        </w:tc>
      </w:tr>
      <w:tr w:rsidR="00344381" w:rsidRPr="00A15598" w14:paraId="76EDFFA5" w14:textId="77777777" w:rsidTr="00344381">
        <w:tc>
          <w:tcPr>
            <w:tcW w:w="0" w:type="auto"/>
            <w:tcBorders>
              <w:top w:val="nil"/>
              <w:left w:val="nil"/>
              <w:bottom w:val="single" w:sz="6" w:space="0" w:color="000000"/>
              <w:right w:val="nil"/>
            </w:tcBorders>
            <w:shd w:val="clear" w:color="auto" w:fill="C0C0C0"/>
            <w:vAlign w:val="center"/>
            <w:hideMark/>
          </w:tcPr>
          <w:p w14:paraId="10181A2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Casas de habitación</w:t>
            </w:r>
          </w:p>
        </w:tc>
        <w:tc>
          <w:tcPr>
            <w:tcW w:w="0" w:type="auto"/>
            <w:tcBorders>
              <w:top w:val="nil"/>
              <w:left w:val="nil"/>
              <w:bottom w:val="single" w:sz="6" w:space="0" w:color="000000"/>
              <w:right w:val="nil"/>
            </w:tcBorders>
            <w:shd w:val="clear" w:color="auto" w:fill="DBEDDC"/>
            <w:vAlign w:val="center"/>
            <w:hideMark/>
          </w:tcPr>
          <w:p w14:paraId="07AF7EC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42,9%</w:t>
            </w:r>
          </w:p>
        </w:tc>
        <w:tc>
          <w:tcPr>
            <w:tcW w:w="0" w:type="auto"/>
            <w:tcBorders>
              <w:top w:val="nil"/>
              <w:left w:val="nil"/>
              <w:bottom w:val="single" w:sz="6" w:space="0" w:color="000000"/>
              <w:right w:val="nil"/>
            </w:tcBorders>
            <w:shd w:val="clear" w:color="auto" w:fill="DBEDDC"/>
            <w:vAlign w:val="center"/>
            <w:hideMark/>
          </w:tcPr>
          <w:p w14:paraId="729FEF8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46,4%</w:t>
            </w:r>
          </w:p>
        </w:tc>
        <w:tc>
          <w:tcPr>
            <w:tcW w:w="0" w:type="auto"/>
            <w:tcBorders>
              <w:top w:val="nil"/>
              <w:left w:val="nil"/>
              <w:bottom w:val="single" w:sz="6" w:space="0" w:color="000000"/>
              <w:right w:val="nil"/>
            </w:tcBorders>
            <w:shd w:val="clear" w:color="auto" w:fill="DBEDDC"/>
            <w:vAlign w:val="center"/>
            <w:hideMark/>
          </w:tcPr>
          <w:p w14:paraId="7CB63B8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43,8%</w:t>
            </w:r>
          </w:p>
        </w:tc>
        <w:tc>
          <w:tcPr>
            <w:tcW w:w="0" w:type="auto"/>
            <w:tcBorders>
              <w:top w:val="nil"/>
              <w:left w:val="nil"/>
              <w:bottom w:val="single" w:sz="6" w:space="0" w:color="000000"/>
              <w:right w:val="nil"/>
            </w:tcBorders>
            <w:shd w:val="clear" w:color="auto" w:fill="DBEDDC"/>
            <w:vAlign w:val="center"/>
            <w:hideMark/>
          </w:tcPr>
          <w:p w14:paraId="7616B08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44,2%</w:t>
            </w:r>
          </w:p>
        </w:tc>
        <w:tc>
          <w:tcPr>
            <w:tcW w:w="0" w:type="auto"/>
            <w:tcBorders>
              <w:top w:val="nil"/>
              <w:left w:val="nil"/>
              <w:bottom w:val="single" w:sz="6" w:space="0" w:color="000000"/>
              <w:right w:val="nil"/>
            </w:tcBorders>
            <w:shd w:val="clear" w:color="auto" w:fill="DBEDDC"/>
            <w:vAlign w:val="center"/>
            <w:hideMark/>
          </w:tcPr>
          <w:p w14:paraId="5F7F79C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37,4%</w:t>
            </w:r>
          </w:p>
        </w:tc>
        <w:tc>
          <w:tcPr>
            <w:tcW w:w="0" w:type="auto"/>
            <w:tcBorders>
              <w:top w:val="nil"/>
              <w:left w:val="nil"/>
              <w:bottom w:val="single" w:sz="6" w:space="0" w:color="000000"/>
              <w:right w:val="nil"/>
            </w:tcBorders>
            <w:shd w:val="clear" w:color="auto" w:fill="FFFF7A"/>
            <w:vAlign w:val="center"/>
            <w:hideMark/>
          </w:tcPr>
          <w:p w14:paraId="386F5A1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23,1%</w:t>
            </w:r>
          </w:p>
        </w:tc>
        <w:tc>
          <w:tcPr>
            <w:tcW w:w="0" w:type="auto"/>
            <w:tcBorders>
              <w:top w:val="nil"/>
              <w:left w:val="nil"/>
              <w:bottom w:val="single" w:sz="6" w:space="0" w:color="000000"/>
              <w:right w:val="nil"/>
            </w:tcBorders>
            <w:shd w:val="clear" w:color="auto" w:fill="FFFF7A"/>
            <w:vAlign w:val="center"/>
            <w:hideMark/>
          </w:tcPr>
          <w:p w14:paraId="22E061A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21,7%</w:t>
            </w:r>
          </w:p>
        </w:tc>
        <w:tc>
          <w:tcPr>
            <w:tcW w:w="0" w:type="auto"/>
            <w:tcBorders>
              <w:top w:val="nil"/>
              <w:left w:val="nil"/>
              <w:bottom w:val="single" w:sz="6" w:space="0" w:color="000000"/>
              <w:right w:val="nil"/>
            </w:tcBorders>
            <w:shd w:val="clear" w:color="auto" w:fill="FFFF7A"/>
            <w:vAlign w:val="center"/>
            <w:hideMark/>
          </w:tcPr>
          <w:p w14:paraId="150E0A3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25,2%</w:t>
            </w:r>
          </w:p>
        </w:tc>
        <w:tc>
          <w:tcPr>
            <w:tcW w:w="0" w:type="auto"/>
            <w:tcBorders>
              <w:top w:val="nil"/>
              <w:left w:val="nil"/>
              <w:bottom w:val="single" w:sz="6" w:space="0" w:color="000000"/>
              <w:right w:val="nil"/>
            </w:tcBorders>
            <w:shd w:val="clear" w:color="auto" w:fill="FFFF7A"/>
            <w:vAlign w:val="center"/>
            <w:hideMark/>
          </w:tcPr>
          <w:p w14:paraId="56AAF10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22,9%</w:t>
            </w:r>
          </w:p>
        </w:tc>
      </w:tr>
      <w:tr w:rsidR="00344381" w:rsidRPr="00A15598" w14:paraId="154DA18D" w14:textId="77777777" w:rsidTr="00344381">
        <w:tc>
          <w:tcPr>
            <w:tcW w:w="0" w:type="auto"/>
            <w:tcBorders>
              <w:top w:val="nil"/>
              <w:left w:val="nil"/>
              <w:bottom w:val="single" w:sz="6" w:space="0" w:color="000000"/>
              <w:right w:val="nil"/>
            </w:tcBorders>
            <w:shd w:val="clear" w:color="auto" w:fill="A9A9A9"/>
            <w:vAlign w:val="center"/>
            <w:hideMark/>
          </w:tcPr>
          <w:p w14:paraId="2375562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Dentro de la vivienda</w:t>
            </w:r>
          </w:p>
        </w:tc>
        <w:tc>
          <w:tcPr>
            <w:tcW w:w="0" w:type="auto"/>
            <w:tcBorders>
              <w:top w:val="nil"/>
              <w:left w:val="nil"/>
              <w:bottom w:val="single" w:sz="6" w:space="0" w:color="000000"/>
              <w:right w:val="nil"/>
            </w:tcBorders>
            <w:shd w:val="clear" w:color="auto" w:fill="FFFF7A"/>
            <w:vAlign w:val="center"/>
            <w:hideMark/>
          </w:tcPr>
          <w:p w14:paraId="6777D24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11,3%</w:t>
            </w:r>
          </w:p>
        </w:tc>
        <w:tc>
          <w:tcPr>
            <w:tcW w:w="0" w:type="auto"/>
            <w:tcBorders>
              <w:top w:val="nil"/>
              <w:left w:val="nil"/>
              <w:bottom w:val="single" w:sz="6" w:space="0" w:color="000000"/>
              <w:right w:val="nil"/>
            </w:tcBorders>
            <w:shd w:val="clear" w:color="auto" w:fill="FFFF7A"/>
            <w:vAlign w:val="center"/>
            <w:hideMark/>
          </w:tcPr>
          <w:p w14:paraId="7ACB47D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9,0%</w:t>
            </w:r>
          </w:p>
        </w:tc>
        <w:tc>
          <w:tcPr>
            <w:tcW w:w="0" w:type="auto"/>
            <w:tcBorders>
              <w:top w:val="nil"/>
              <w:left w:val="nil"/>
              <w:bottom w:val="single" w:sz="6" w:space="0" w:color="000000"/>
              <w:right w:val="nil"/>
            </w:tcBorders>
            <w:shd w:val="clear" w:color="auto" w:fill="FFFF7A"/>
            <w:vAlign w:val="center"/>
            <w:hideMark/>
          </w:tcPr>
          <w:p w14:paraId="638FA63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11,5%</w:t>
            </w:r>
          </w:p>
        </w:tc>
        <w:tc>
          <w:tcPr>
            <w:tcW w:w="0" w:type="auto"/>
            <w:tcBorders>
              <w:top w:val="nil"/>
              <w:left w:val="nil"/>
              <w:bottom w:val="single" w:sz="6" w:space="0" w:color="000000"/>
              <w:right w:val="nil"/>
            </w:tcBorders>
            <w:shd w:val="clear" w:color="auto" w:fill="FFFF7A"/>
            <w:vAlign w:val="center"/>
            <w:hideMark/>
          </w:tcPr>
          <w:p w14:paraId="18E9A01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10,9%</w:t>
            </w:r>
          </w:p>
        </w:tc>
        <w:tc>
          <w:tcPr>
            <w:tcW w:w="0" w:type="auto"/>
            <w:tcBorders>
              <w:top w:val="nil"/>
              <w:left w:val="nil"/>
              <w:bottom w:val="single" w:sz="6" w:space="0" w:color="000000"/>
              <w:right w:val="nil"/>
            </w:tcBorders>
            <w:shd w:val="clear" w:color="auto" w:fill="FFFF7A"/>
            <w:vAlign w:val="center"/>
            <w:hideMark/>
          </w:tcPr>
          <w:p w14:paraId="55AE9C9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14,6%</w:t>
            </w:r>
          </w:p>
        </w:tc>
        <w:tc>
          <w:tcPr>
            <w:tcW w:w="0" w:type="auto"/>
            <w:tcBorders>
              <w:top w:val="nil"/>
              <w:left w:val="nil"/>
              <w:bottom w:val="single" w:sz="6" w:space="0" w:color="000000"/>
              <w:right w:val="nil"/>
            </w:tcBorders>
            <w:shd w:val="clear" w:color="auto" w:fill="FFFF7A"/>
            <w:vAlign w:val="center"/>
            <w:hideMark/>
          </w:tcPr>
          <w:p w14:paraId="26B9523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6,3%</w:t>
            </w:r>
          </w:p>
        </w:tc>
        <w:tc>
          <w:tcPr>
            <w:tcW w:w="0" w:type="auto"/>
            <w:tcBorders>
              <w:top w:val="nil"/>
              <w:left w:val="nil"/>
              <w:bottom w:val="single" w:sz="6" w:space="0" w:color="000000"/>
              <w:right w:val="nil"/>
            </w:tcBorders>
            <w:shd w:val="clear" w:color="auto" w:fill="FFFF7A"/>
            <w:vAlign w:val="center"/>
            <w:hideMark/>
          </w:tcPr>
          <w:p w14:paraId="2E933B1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5,7%</w:t>
            </w:r>
          </w:p>
        </w:tc>
        <w:tc>
          <w:tcPr>
            <w:tcW w:w="0" w:type="auto"/>
            <w:tcBorders>
              <w:top w:val="nil"/>
              <w:left w:val="nil"/>
              <w:bottom w:val="single" w:sz="6" w:space="0" w:color="000000"/>
              <w:right w:val="nil"/>
            </w:tcBorders>
            <w:shd w:val="clear" w:color="auto" w:fill="FFFF7A"/>
            <w:vAlign w:val="center"/>
            <w:hideMark/>
          </w:tcPr>
          <w:p w14:paraId="614F46B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w:t>
            </w:r>
          </w:p>
        </w:tc>
        <w:tc>
          <w:tcPr>
            <w:tcW w:w="0" w:type="auto"/>
            <w:tcBorders>
              <w:top w:val="nil"/>
              <w:left w:val="nil"/>
              <w:bottom w:val="single" w:sz="6" w:space="0" w:color="000000"/>
              <w:right w:val="nil"/>
            </w:tcBorders>
            <w:shd w:val="clear" w:color="auto" w:fill="FFFF7A"/>
            <w:vAlign w:val="center"/>
            <w:hideMark/>
          </w:tcPr>
          <w:p w14:paraId="39588E0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3,4%</w:t>
            </w:r>
          </w:p>
        </w:tc>
      </w:tr>
      <w:tr w:rsidR="00344381" w:rsidRPr="00A15598" w14:paraId="025D06B2" w14:textId="77777777" w:rsidTr="00344381">
        <w:tc>
          <w:tcPr>
            <w:tcW w:w="0" w:type="auto"/>
            <w:tcBorders>
              <w:top w:val="nil"/>
              <w:left w:val="nil"/>
              <w:bottom w:val="single" w:sz="6" w:space="0" w:color="000000"/>
              <w:right w:val="nil"/>
            </w:tcBorders>
            <w:shd w:val="clear" w:color="auto" w:fill="C0C0C0"/>
            <w:vAlign w:val="center"/>
            <w:hideMark/>
          </w:tcPr>
          <w:p w14:paraId="5E3B4D2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Otros</w:t>
            </w:r>
          </w:p>
        </w:tc>
        <w:tc>
          <w:tcPr>
            <w:tcW w:w="0" w:type="auto"/>
            <w:tcBorders>
              <w:top w:val="nil"/>
              <w:left w:val="nil"/>
              <w:bottom w:val="single" w:sz="6" w:space="0" w:color="000000"/>
              <w:right w:val="nil"/>
            </w:tcBorders>
            <w:shd w:val="clear" w:color="auto" w:fill="FFFF7A"/>
            <w:vAlign w:val="center"/>
            <w:hideMark/>
          </w:tcPr>
          <w:p w14:paraId="240AB99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9,2%</w:t>
            </w:r>
          </w:p>
        </w:tc>
        <w:tc>
          <w:tcPr>
            <w:tcW w:w="0" w:type="auto"/>
            <w:tcBorders>
              <w:top w:val="nil"/>
              <w:left w:val="nil"/>
              <w:bottom w:val="single" w:sz="6" w:space="0" w:color="000000"/>
              <w:right w:val="nil"/>
            </w:tcBorders>
            <w:shd w:val="clear" w:color="auto" w:fill="FFFF7A"/>
            <w:vAlign w:val="center"/>
            <w:hideMark/>
          </w:tcPr>
          <w:p w14:paraId="4A7E9E1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8,9%</w:t>
            </w:r>
          </w:p>
        </w:tc>
        <w:tc>
          <w:tcPr>
            <w:tcW w:w="0" w:type="auto"/>
            <w:tcBorders>
              <w:top w:val="nil"/>
              <w:left w:val="nil"/>
              <w:bottom w:val="single" w:sz="6" w:space="0" w:color="000000"/>
              <w:right w:val="nil"/>
            </w:tcBorders>
            <w:shd w:val="clear" w:color="auto" w:fill="FFFF7A"/>
            <w:vAlign w:val="center"/>
            <w:hideMark/>
          </w:tcPr>
          <w:p w14:paraId="76838FB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7,0%</w:t>
            </w:r>
          </w:p>
        </w:tc>
        <w:tc>
          <w:tcPr>
            <w:tcW w:w="0" w:type="auto"/>
            <w:tcBorders>
              <w:top w:val="nil"/>
              <w:left w:val="nil"/>
              <w:bottom w:val="single" w:sz="6" w:space="0" w:color="000000"/>
              <w:right w:val="nil"/>
            </w:tcBorders>
            <w:shd w:val="clear" w:color="auto" w:fill="FFFF7A"/>
            <w:vAlign w:val="center"/>
            <w:hideMark/>
          </w:tcPr>
          <w:p w14:paraId="302DB55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7,4%</w:t>
            </w:r>
          </w:p>
        </w:tc>
        <w:tc>
          <w:tcPr>
            <w:tcW w:w="0" w:type="auto"/>
            <w:tcBorders>
              <w:top w:val="nil"/>
              <w:left w:val="nil"/>
              <w:bottom w:val="single" w:sz="6" w:space="0" w:color="000000"/>
              <w:right w:val="nil"/>
            </w:tcBorders>
            <w:shd w:val="clear" w:color="auto" w:fill="FFFF7A"/>
            <w:vAlign w:val="center"/>
            <w:hideMark/>
          </w:tcPr>
          <w:p w14:paraId="64921A9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7,0%</w:t>
            </w:r>
          </w:p>
        </w:tc>
        <w:tc>
          <w:tcPr>
            <w:tcW w:w="0" w:type="auto"/>
            <w:tcBorders>
              <w:top w:val="nil"/>
              <w:left w:val="nil"/>
              <w:bottom w:val="single" w:sz="6" w:space="0" w:color="000000"/>
              <w:right w:val="nil"/>
            </w:tcBorders>
            <w:shd w:val="clear" w:color="auto" w:fill="FFFF7A"/>
            <w:vAlign w:val="center"/>
            <w:hideMark/>
          </w:tcPr>
          <w:p w14:paraId="5412690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4,1%</w:t>
            </w:r>
          </w:p>
        </w:tc>
        <w:tc>
          <w:tcPr>
            <w:tcW w:w="0" w:type="auto"/>
            <w:tcBorders>
              <w:top w:val="nil"/>
              <w:left w:val="nil"/>
              <w:bottom w:val="single" w:sz="6" w:space="0" w:color="000000"/>
              <w:right w:val="nil"/>
            </w:tcBorders>
            <w:shd w:val="clear" w:color="auto" w:fill="FFFF7A"/>
            <w:vAlign w:val="center"/>
            <w:hideMark/>
          </w:tcPr>
          <w:p w14:paraId="6154BD8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w:t>
            </w:r>
          </w:p>
        </w:tc>
        <w:tc>
          <w:tcPr>
            <w:tcW w:w="0" w:type="auto"/>
            <w:tcBorders>
              <w:top w:val="nil"/>
              <w:left w:val="nil"/>
              <w:bottom w:val="single" w:sz="6" w:space="0" w:color="000000"/>
              <w:right w:val="nil"/>
            </w:tcBorders>
            <w:shd w:val="clear" w:color="auto" w:fill="FFFF7A"/>
            <w:vAlign w:val="center"/>
            <w:hideMark/>
          </w:tcPr>
          <w:p w14:paraId="0AF90CB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4,9%</w:t>
            </w:r>
          </w:p>
        </w:tc>
        <w:tc>
          <w:tcPr>
            <w:tcW w:w="0" w:type="auto"/>
            <w:tcBorders>
              <w:top w:val="nil"/>
              <w:left w:val="nil"/>
              <w:bottom w:val="single" w:sz="6" w:space="0" w:color="000000"/>
              <w:right w:val="nil"/>
            </w:tcBorders>
            <w:shd w:val="clear" w:color="auto" w:fill="FFFF7A"/>
            <w:vAlign w:val="center"/>
            <w:hideMark/>
          </w:tcPr>
          <w:p w14:paraId="0F6A76D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11,5%</w:t>
            </w:r>
          </w:p>
        </w:tc>
      </w:tr>
      <w:tr w:rsidR="00344381" w:rsidRPr="00A15598" w14:paraId="207447F1" w14:textId="77777777" w:rsidTr="00344381">
        <w:tc>
          <w:tcPr>
            <w:tcW w:w="0" w:type="auto"/>
            <w:tcBorders>
              <w:top w:val="nil"/>
              <w:left w:val="nil"/>
              <w:bottom w:val="single" w:sz="6" w:space="0" w:color="000000"/>
              <w:right w:val="nil"/>
            </w:tcBorders>
            <w:shd w:val="clear" w:color="auto" w:fill="A9A9A9"/>
            <w:vAlign w:val="center"/>
            <w:hideMark/>
          </w:tcPr>
          <w:p w14:paraId="45D69B2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Fincas y similares</w:t>
            </w:r>
          </w:p>
        </w:tc>
        <w:tc>
          <w:tcPr>
            <w:tcW w:w="0" w:type="auto"/>
            <w:tcBorders>
              <w:top w:val="nil"/>
              <w:left w:val="nil"/>
              <w:bottom w:val="single" w:sz="6" w:space="0" w:color="000000"/>
              <w:right w:val="nil"/>
            </w:tcBorders>
            <w:shd w:val="clear" w:color="auto" w:fill="FFFF7A"/>
            <w:vAlign w:val="center"/>
            <w:hideMark/>
          </w:tcPr>
          <w:p w14:paraId="550BF64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w:t>
            </w:r>
          </w:p>
        </w:tc>
        <w:tc>
          <w:tcPr>
            <w:tcW w:w="0" w:type="auto"/>
            <w:tcBorders>
              <w:top w:val="nil"/>
              <w:left w:val="nil"/>
              <w:bottom w:val="single" w:sz="6" w:space="0" w:color="000000"/>
              <w:right w:val="nil"/>
            </w:tcBorders>
            <w:shd w:val="clear" w:color="auto" w:fill="FFFF7A"/>
            <w:vAlign w:val="center"/>
            <w:hideMark/>
          </w:tcPr>
          <w:p w14:paraId="46F2CB1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6,1%</w:t>
            </w:r>
          </w:p>
        </w:tc>
        <w:tc>
          <w:tcPr>
            <w:tcW w:w="0" w:type="auto"/>
            <w:tcBorders>
              <w:top w:val="nil"/>
              <w:left w:val="nil"/>
              <w:bottom w:val="single" w:sz="6" w:space="0" w:color="000000"/>
              <w:right w:val="nil"/>
            </w:tcBorders>
            <w:shd w:val="clear" w:color="auto" w:fill="FFFF7A"/>
            <w:vAlign w:val="center"/>
            <w:hideMark/>
          </w:tcPr>
          <w:p w14:paraId="6B671DE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w:t>
            </w:r>
          </w:p>
        </w:tc>
        <w:tc>
          <w:tcPr>
            <w:tcW w:w="0" w:type="auto"/>
            <w:tcBorders>
              <w:top w:val="nil"/>
              <w:left w:val="nil"/>
              <w:bottom w:val="single" w:sz="6" w:space="0" w:color="000000"/>
              <w:right w:val="nil"/>
            </w:tcBorders>
            <w:shd w:val="clear" w:color="auto" w:fill="FFFF7A"/>
            <w:vAlign w:val="center"/>
            <w:hideMark/>
          </w:tcPr>
          <w:p w14:paraId="6DF234B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6,5%</w:t>
            </w:r>
          </w:p>
        </w:tc>
        <w:tc>
          <w:tcPr>
            <w:tcW w:w="0" w:type="auto"/>
            <w:tcBorders>
              <w:top w:val="nil"/>
              <w:left w:val="nil"/>
              <w:bottom w:val="single" w:sz="6" w:space="0" w:color="000000"/>
              <w:right w:val="nil"/>
            </w:tcBorders>
            <w:shd w:val="clear" w:color="auto" w:fill="FFFF7A"/>
            <w:vAlign w:val="center"/>
            <w:hideMark/>
          </w:tcPr>
          <w:p w14:paraId="7FDDA44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w:t>
            </w:r>
          </w:p>
        </w:tc>
        <w:tc>
          <w:tcPr>
            <w:tcW w:w="0" w:type="auto"/>
            <w:tcBorders>
              <w:top w:val="nil"/>
              <w:left w:val="nil"/>
              <w:bottom w:val="single" w:sz="6" w:space="0" w:color="000000"/>
              <w:right w:val="nil"/>
            </w:tcBorders>
            <w:shd w:val="clear" w:color="auto" w:fill="FFFF7A"/>
            <w:vAlign w:val="center"/>
            <w:hideMark/>
          </w:tcPr>
          <w:p w14:paraId="74F50AF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3,1%</w:t>
            </w:r>
          </w:p>
        </w:tc>
        <w:tc>
          <w:tcPr>
            <w:tcW w:w="0" w:type="auto"/>
            <w:tcBorders>
              <w:top w:val="nil"/>
              <w:left w:val="nil"/>
              <w:bottom w:val="single" w:sz="6" w:space="0" w:color="000000"/>
              <w:right w:val="nil"/>
            </w:tcBorders>
            <w:shd w:val="clear" w:color="auto" w:fill="FFFF7A"/>
            <w:vAlign w:val="center"/>
            <w:hideMark/>
          </w:tcPr>
          <w:p w14:paraId="77B3973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3,7%</w:t>
            </w:r>
          </w:p>
        </w:tc>
        <w:tc>
          <w:tcPr>
            <w:tcW w:w="0" w:type="auto"/>
            <w:tcBorders>
              <w:top w:val="nil"/>
              <w:left w:val="nil"/>
              <w:bottom w:val="single" w:sz="6" w:space="0" w:color="000000"/>
              <w:right w:val="nil"/>
            </w:tcBorders>
            <w:shd w:val="clear" w:color="auto" w:fill="FFFF7A"/>
            <w:vAlign w:val="center"/>
            <w:hideMark/>
          </w:tcPr>
          <w:p w14:paraId="3FBC732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4,6%</w:t>
            </w:r>
          </w:p>
        </w:tc>
        <w:tc>
          <w:tcPr>
            <w:tcW w:w="0" w:type="auto"/>
            <w:tcBorders>
              <w:top w:val="nil"/>
              <w:left w:val="nil"/>
              <w:bottom w:val="single" w:sz="6" w:space="0" w:color="000000"/>
              <w:right w:val="nil"/>
            </w:tcBorders>
            <w:shd w:val="clear" w:color="auto" w:fill="FFFF7A"/>
            <w:vAlign w:val="center"/>
            <w:hideMark/>
          </w:tcPr>
          <w:p w14:paraId="3B9A106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4,0%</w:t>
            </w:r>
          </w:p>
        </w:tc>
      </w:tr>
      <w:tr w:rsidR="00344381" w:rsidRPr="00A15598" w14:paraId="300D2788" w14:textId="77777777" w:rsidTr="00344381">
        <w:tc>
          <w:tcPr>
            <w:tcW w:w="0" w:type="auto"/>
            <w:tcBorders>
              <w:top w:val="nil"/>
              <w:left w:val="nil"/>
              <w:bottom w:val="single" w:sz="6" w:space="0" w:color="000000"/>
              <w:right w:val="nil"/>
            </w:tcBorders>
            <w:shd w:val="clear" w:color="auto" w:fill="C0C0C0"/>
            <w:vAlign w:val="center"/>
            <w:hideMark/>
          </w:tcPr>
          <w:p w14:paraId="27F89A1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Colegios, escuelas, establecimiento educativo</w:t>
            </w:r>
          </w:p>
        </w:tc>
        <w:tc>
          <w:tcPr>
            <w:tcW w:w="0" w:type="auto"/>
            <w:tcBorders>
              <w:top w:val="nil"/>
              <w:left w:val="nil"/>
              <w:bottom w:val="single" w:sz="6" w:space="0" w:color="000000"/>
              <w:right w:val="nil"/>
            </w:tcBorders>
            <w:shd w:val="clear" w:color="auto" w:fill="F4A460"/>
            <w:vAlign w:val="center"/>
            <w:hideMark/>
          </w:tcPr>
          <w:p w14:paraId="073BCD9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2,2%</w:t>
            </w:r>
          </w:p>
        </w:tc>
        <w:tc>
          <w:tcPr>
            <w:tcW w:w="0" w:type="auto"/>
            <w:tcBorders>
              <w:top w:val="nil"/>
              <w:left w:val="nil"/>
              <w:bottom w:val="single" w:sz="6" w:space="0" w:color="000000"/>
              <w:right w:val="nil"/>
            </w:tcBorders>
            <w:shd w:val="clear" w:color="auto" w:fill="F4A460"/>
            <w:vAlign w:val="center"/>
            <w:hideMark/>
          </w:tcPr>
          <w:p w14:paraId="1C4A783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2,3%</w:t>
            </w:r>
          </w:p>
        </w:tc>
        <w:tc>
          <w:tcPr>
            <w:tcW w:w="0" w:type="auto"/>
            <w:tcBorders>
              <w:top w:val="nil"/>
              <w:left w:val="nil"/>
              <w:bottom w:val="single" w:sz="6" w:space="0" w:color="000000"/>
              <w:right w:val="nil"/>
            </w:tcBorders>
            <w:shd w:val="clear" w:color="auto" w:fill="F4A460"/>
            <w:vAlign w:val="center"/>
            <w:hideMark/>
          </w:tcPr>
          <w:p w14:paraId="6FF29A7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2,6%</w:t>
            </w:r>
          </w:p>
        </w:tc>
        <w:tc>
          <w:tcPr>
            <w:tcW w:w="0" w:type="auto"/>
            <w:tcBorders>
              <w:top w:val="nil"/>
              <w:left w:val="nil"/>
              <w:bottom w:val="single" w:sz="6" w:space="0" w:color="000000"/>
              <w:right w:val="nil"/>
            </w:tcBorders>
            <w:shd w:val="clear" w:color="auto" w:fill="F4A460"/>
            <w:vAlign w:val="center"/>
            <w:hideMark/>
          </w:tcPr>
          <w:p w14:paraId="491CA1D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2,2%</w:t>
            </w:r>
          </w:p>
        </w:tc>
        <w:tc>
          <w:tcPr>
            <w:tcW w:w="0" w:type="auto"/>
            <w:tcBorders>
              <w:top w:val="nil"/>
              <w:left w:val="nil"/>
              <w:bottom w:val="single" w:sz="6" w:space="0" w:color="000000"/>
              <w:right w:val="nil"/>
            </w:tcBorders>
            <w:shd w:val="clear" w:color="auto" w:fill="F4A460"/>
            <w:vAlign w:val="center"/>
            <w:hideMark/>
          </w:tcPr>
          <w:p w14:paraId="6A78BFF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2,4%</w:t>
            </w:r>
          </w:p>
        </w:tc>
        <w:tc>
          <w:tcPr>
            <w:tcW w:w="0" w:type="auto"/>
            <w:tcBorders>
              <w:top w:val="nil"/>
              <w:left w:val="nil"/>
              <w:bottom w:val="single" w:sz="6" w:space="0" w:color="000000"/>
              <w:right w:val="nil"/>
            </w:tcBorders>
            <w:shd w:val="clear" w:color="auto" w:fill="FA8072"/>
            <w:vAlign w:val="center"/>
            <w:hideMark/>
          </w:tcPr>
          <w:p w14:paraId="356A50C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1,5%</w:t>
            </w:r>
          </w:p>
        </w:tc>
        <w:tc>
          <w:tcPr>
            <w:tcW w:w="0" w:type="auto"/>
            <w:tcBorders>
              <w:top w:val="nil"/>
              <w:left w:val="nil"/>
              <w:bottom w:val="single" w:sz="6" w:space="0" w:color="000000"/>
              <w:right w:val="nil"/>
            </w:tcBorders>
            <w:shd w:val="clear" w:color="auto" w:fill="FA8072"/>
            <w:vAlign w:val="center"/>
            <w:hideMark/>
          </w:tcPr>
          <w:p w14:paraId="4AA9FCD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w:t>
            </w:r>
          </w:p>
        </w:tc>
        <w:tc>
          <w:tcPr>
            <w:tcW w:w="0" w:type="auto"/>
            <w:tcBorders>
              <w:top w:val="nil"/>
              <w:left w:val="nil"/>
              <w:bottom w:val="single" w:sz="6" w:space="0" w:color="000000"/>
              <w:right w:val="nil"/>
            </w:tcBorders>
            <w:shd w:val="clear" w:color="auto" w:fill="FA8072"/>
            <w:vAlign w:val="center"/>
            <w:hideMark/>
          </w:tcPr>
          <w:p w14:paraId="7656C64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1,7%</w:t>
            </w:r>
          </w:p>
        </w:tc>
        <w:tc>
          <w:tcPr>
            <w:tcW w:w="0" w:type="auto"/>
            <w:tcBorders>
              <w:top w:val="nil"/>
              <w:left w:val="nil"/>
              <w:bottom w:val="single" w:sz="6" w:space="0" w:color="000000"/>
              <w:right w:val="nil"/>
            </w:tcBorders>
            <w:shd w:val="clear" w:color="auto" w:fill="FFFF7A"/>
            <w:vAlign w:val="center"/>
            <w:hideMark/>
          </w:tcPr>
          <w:p w14:paraId="7A01BF1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3,7%</w:t>
            </w:r>
          </w:p>
        </w:tc>
      </w:tr>
      <w:tr w:rsidR="00344381" w:rsidRPr="00A15598" w14:paraId="5C6824C8" w14:textId="77777777" w:rsidTr="00344381">
        <w:tc>
          <w:tcPr>
            <w:tcW w:w="0" w:type="auto"/>
            <w:tcBorders>
              <w:top w:val="nil"/>
              <w:left w:val="nil"/>
              <w:bottom w:val="single" w:sz="6" w:space="0" w:color="000000"/>
              <w:right w:val="nil"/>
            </w:tcBorders>
            <w:shd w:val="clear" w:color="auto" w:fill="A9A9A9"/>
            <w:vAlign w:val="center"/>
            <w:hideMark/>
          </w:tcPr>
          <w:p w14:paraId="03B2533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Hoteles, residencias y similares</w:t>
            </w:r>
          </w:p>
        </w:tc>
        <w:tc>
          <w:tcPr>
            <w:tcW w:w="0" w:type="auto"/>
            <w:tcBorders>
              <w:top w:val="nil"/>
              <w:left w:val="nil"/>
              <w:bottom w:val="single" w:sz="6" w:space="0" w:color="000000"/>
              <w:right w:val="nil"/>
            </w:tcBorders>
            <w:shd w:val="clear" w:color="auto" w:fill="FA8072"/>
            <w:vAlign w:val="center"/>
            <w:hideMark/>
          </w:tcPr>
          <w:p w14:paraId="6B2F316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1,5%</w:t>
            </w:r>
          </w:p>
        </w:tc>
        <w:tc>
          <w:tcPr>
            <w:tcW w:w="0" w:type="auto"/>
            <w:tcBorders>
              <w:top w:val="nil"/>
              <w:left w:val="nil"/>
              <w:bottom w:val="single" w:sz="6" w:space="0" w:color="000000"/>
              <w:right w:val="nil"/>
            </w:tcBorders>
            <w:shd w:val="clear" w:color="auto" w:fill="FA8072"/>
            <w:vAlign w:val="center"/>
            <w:hideMark/>
          </w:tcPr>
          <w:p w14:paraId="0C87471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1,3%</w:t>
            </w:r>
          </w:p>
        </w:tc>
        <w:tc>
          <w:tcPr>
            <w:tcW w:w="0" w:type="auto"/>
            <w:tcBorders>
              <w:top w:val="nil"/>
              <w:left w:val="nil"/>
              <w:bottom w:val="single" w:sz="6" w:space="0" w:color="000000"/>
              <w:right w:val="nil"/>
            </w:tcBorders>
            <w:shd w:val="clear" w:color="auto" w:fill="FA8072"/>
            <w:vAlign w:val="center"/>
            <w:hideMark/>
          </w:tcPr>
          <w:p w14:paraId="3CBFDF6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w:t>
            </w:r>
          </w:p>
        </w:tc>
        <w:tc>
          <w:tcPr>
            <w:tcW w:w="0" w:type="auto"/>
            <w:tcBorders>
              <w:top w:val="nil"/>
              <w:left w:val="nil"/>
              <w:bottom w:val="single" w:sz="6" w:space="0" w:color="000000"/>
              <w:right w:val="nil"/>
            </w:tcBorders>
            <w:shd w:val="clear" w:color="auto" w:fill="FA8072"/>
            <w:vAlign w:val="center"/>
            <w:hideMark/>
          </w:tcPr>
          <w:p w14:paraId="27EA514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1,3%</w:t>
            </w:r>
          </w:p>
        </w:tc>
        <w:tc>
          <w:tcPr>
            <w:tcW w:w="0" w:type="auto"/>
            <w:tcBorders>
              <w:top w:val="nil"/>
              <w:left w:val="nil"/>
              <w:bottom w:val="single" w:sz="6" w:space="0" w:color="000000"/>
              <w:right w:val="nil"/>
            </w:tcBorders>
            <w:shd w:val="clear" w:color="auto" w:fill="FA8072"/>
            <w:vAlign w:val="center"/>
            <w:hideMark/>
          </w:tcPr>
          <w:p w14:paraId="633CE8F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w:t>
            </w:r>
          </w:p>
        </w:tc>
        <w:tc>
          <w:tcPr>
            <w:tcW w:w="0" w:type="auto"/>
            <w:tcBorders>
              <w:top w:val="nil"/>
              <w:left w:val="nil"/>
              <w:bottom w:val="single" w:sz="6" w:space="0" w:color="000000"/>
              <w:right w:val="nil"/>
            </w:tcBorders>
            <w:shd w:val="clear" w:color="auto" w:fill="CD5C5C"/>
            <w:vAlign w:val="center"/>
            <w:hideMark/>
          </w:tcPr>
          <w:p w14:paraId="32C2DD5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0,6%</w:t>
            </w:r>
          </w:p>
        </w:tc>
        <w:tc>
          <w:tcPr>
            <w:tcW w:w="0" w:type="auto"/>
            <w:tcBorders>
              <w:top w:val="nil"/>
              <w:left w:val="nil"/>
              <w:bottom w:val="single" w:sz="6" w:space="0" w:color="000000"/>
              <w:right w:val="nil"/>
            </w:tcBorders>
            <w:shd w:val="clear" w:color="auto" w:fill="CD5C5C"/>
            <w:vAlign w:val="center"/>
            <w:hideMark/>
          </w:tcPr>
          <w:p w14:paraId="78B3467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w:t>
            </w:r>
          </w:p>
        </w:tc>
        <w:tc>
          <w:tcPr>
            <w:tcW w:w="0" w:type="auto"/>
            <w:tcBorders>
              <w:top w:val="nil"/>
              <w:left w:val="nil"/>
              <w:bottom w:val="single" w:sz="6" w:space="0" w:color="000000"/>
              <w:right w:val="nil"/>
            </w:tcBorders>
            <w:shd w:val="clear" w:color="auto" w:fill="CD5C5C"/>
            <w:vAlign w:val="center"/>
            <w:hideMark/>
          </w:tcPr>
          <w:p w14:paraId="10A37C4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w:t>
            </w:r>
          </w:p>
        </w:tc>
        <w:tc>
          <w:tcPr>
            <w:tcW w:w="0" w:type="auto"/>
            <w:tcBorders>
              <w:top w:val="nil"/>
              <w:left w:val="nil"/>
              <w:bottom w:val="single" w:sz="6" w:space="0" w:color="000000"/>
              <w:right w:val="nil"/>
            </w:tcBorders>
            <w:shd w:val="clear" w:color="auto" w:fill="CD5C5C"/>
            <w:vAlign w:val="center"/>
            <w:hideMark/>
          </w:tcPr>
          <w:p w14:paraId="6AE488FC"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w:t>
            </w:r>
          </w:p>
        </w:tc>
      </w:tr>
      <w:tr w:rsidR="00344381" w:rsidRPr="00A15598" w14:paraId="58DB9083" w14:textId="77777777" w:rsidTr="00344381">
        <w:tc>
          <w:tcPr>
            <w:tcW w:w="0" w:type="auto"/>
            <w:tcBorders>
              <w:top w:val="nil"/>
              <w:left w:val="nil"/>
              <w:bottom w:val="single" w:sz="6" w:space="0" w:color="000000"/>
              <w:right w:val="nil"/>
            </w:tcBorders>
            <w:shd w:val="clear" w:color="auto" w:fill="C0C0C0"/>
            <w:vAlign w:val="center"/>
            <w:hideMark/>
          </w:tcPr>
          <w:p w14:paraId="2257E29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Apartamentos</w:t>
            </w:r>
          </w:p>
        </w:tc>
        <w:tc>
          <w:tcPr>
            <w:tcW w:w="0" w:type="auto"/>
            <w:tcBorders>
              <w:top w:val="nil"/>
              <w:left w:val="nil"/>
              <w:bottom w:val="single" w:sz="6" w:space="0" w:color="000000"/>
              <w:right w:val="nil"/>
            </w:tcBorders>
            <w:shd w:val="clear" w:color="auto" w:fill="FA8072"/>
            <w:vAlign w:val="center"/>
            <w:hideMark/>
          </w:tcPr>
          <w:p w14:paraId="209CEE8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w:t>
            </w:r>
          </w:p>
        </w:tc>
        <w:tc>
          <w:tcPr>
            <w:tcW w:w="0" w:type="auto"/>
            <w:tcBorders>
              <w:top w:val="nil"/>
              <w:left w:val="nil"/>
              <w:bottom w:val="single" w:sz="6" w:space="0" w:color="000000"/>
              <w:right w:val="nil"/>
            </w:tcBorders>
            <w:shd w:val="clear" w:color="auto" w:fill="FA8072"/>
            <w:vAlign w:val="center"/>
            <w:hideMark/>
          </w:tcPr>
          <w:p w14:paraId="3F77C74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w:t>
            </w:r>
          </w:p>
        </w:tc>
        <w:tc>
          <w:tcPr>
            <w:tcW w:w="0" w:type="auto"/>
            <w:tcBorders>
              <w:top w:val="nil"/>
              <w:left w:val="nil"/>
              <w:bottom w:val="single" w:sz="6" w:space="0" w:color="000000"/>
              <w:right w:val="nil"/>
            </w:tcBorders>
            <w:shd w:val="clear" w:color="auto" w:fill="CD5C5C"/>
            <w:vAlign w:val="center"/>
            <w:hideMark/>
          </w:tcPr>
          <w:p w14:paraId="7124A989"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0,6%</w:t>
            </w:r>
          </w:p>
        </w:tc>
        <w:tc>
          <w:tcPr>
            <w:tcW w:w="0" w:type="auto"/>
            <w:tcBorders>
              <w:top w:val="nil"/>
              <w:left w:val="nil"/>
              <w:bottom w:val="single" w:sz="6" w:space="0" w:color="000000"/>
              <w:right w:val="nil"/>
            </w:tcBorders>
            <w:shd w:val="clear" w:color="auto" w:fill="F4A460"/>
            <w:vAlign w:val="center"/>
            <w:hideMark/>
          </w:tcPr>
          <w:p w14:paraId="2688D63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1,9%</w:t>
            </w:r>
          </w:p>
        </w:tc>
        <w:tc>
          <w:tcPr>
            <w:tcW w:w="0" w:type="auto"/>
            <w:tcBorders>
              <w:top w:val="nil"/>
              <w:left w:val="nil"/>
              <w:bottom w:val="single" w:sz="6" w:space="0" w:color="000000"/>
              <w:right w:val="nil"/>
            </w:tcBorders>
            <w:shd w:val="clear" w:color="auto" w:fill="CD5C5C"/>
            <w:vAlign w:val="center"/>
            <w:hideMark/>
          </w:tcPr>
          <w:p w14:paraId="6A8E0584"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w:t>
            </w:r>
          </w:p>
        </w:tc>
        <w:tc>
          <w:tcPr>
            <w:tcW w:w="0" w:type="auto"/>
            <w:tcBorders>
              <w:top w:val="nil"/>
              <w:left w:val="nil"/>
              <w:bottom w:val="single" w:sz="6" w:space="0" w:color="000000"/>
              <w:right w:val="nil"/>
            </w:tcBorders>
            <w:shd w:val="clear" w:color="auto" w:fill="CD5C5C"/>
            <w:vAlign w:val="center"/>
            <w:hideMark/>
          </w:tcPr>
          <w:p w14:paraId="6576927C"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0,5%</w:t>
            </w:r>
          </w:p>
        </w:tc>
        <w:tc>
          <w:tcPr>
            <w:tcW w:w="0" w:type="auto"/>
            <w:tcBorders>
              <w:top w:val="nil"/>
              <w:left w:val="nil"/>
              <w:bottom w:val="single" w:sz="6" w:space="0" w:color="000000"/>
              <w:right w:val="nil"/>
            </w:tcBorders>
            <w:shd w:val="clear" w:color="auto" w:fill="CD5C5C"/>
            <w:vAlign w:val="center"/>
            <w:hideMark/>
          </w:tcPr>
          <w:p w14:paraId="10DE90B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w:t>
            </w:r>
          </w:p>
        </w:tc>
        <w:tc>
          <w:tcPr>
            <w:tcW w:w="0" w:type="auto"/>
            <w:tcBorders>
              <w:top w:val="nil"/>
              <w:left w:val="nil"/>
              <w:bottom w:val="single" w:sz="6" w:space="0" w:color="000000"/>
              <w:right w:val="nil"/>
            </w:tcBorders>
            <w:shd w:val="clear" w:color="auto" w:fill="CD5C5C"/>
            <w:vAlign w:val="center"/>
            <w:hideMark/>
          </w:tcPr>
          <w:p w14:paraId="4562850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w:t>
            </w:r>
          </w:p>
        </w:tc>
        <w:tc>
          <w:tcPr>
            <w:tcW w:w="0" w:type="auto"/>
            <w:tcBorders>
              <w:top w:val="nil"/>
              <w:left w:val="nil"/>
              <w:bottom w:val="single" w:sz="6" w:space="0" w:color="000000"/>
              <w:right w:val="nil"/>
            </w:tcBorders>
            <w:shd w:val="clear" w:color="auto" w:fill="CD5C5C"/>
            <w:vAlign w:val="center"/>
            <w:hideMark/>
          </w:tcPr>
          <w:p w14:paraId="6F959755"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w:t>
            </w:r>
          </w:p>
        </w:tc>
      </w:tr>
      <w:tr w:rsidR="00344381" w:rsidRPr="00A15598" w14:paraId="315A3019" w14:textId="77777777" w:rsidTr="00344381">
        <w:tc>
          <w:tcPr>
            <w:tcW w:w="0" w:type="auto"/>
            <w:tcBorders>
              <w:top w:val="nil"/>
              <w:left w:val="nil"/>
              <w:bottom w:val="single" w:sz="6" w:space="0" w:color="000000"/>
              <w:right w:val="nil"/>
            </w:tcBorders>
            <w:shd w:val="clear" w:color="auto" w:fill="A9A9A9"/>
            <w:vAlign w:val="center"/>
            <w:hideMark/>
          </w:tcPr>
          <w:p w14:paraId="7A43DC8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Lote baldío</w:t>
            </w:r>
          </w:p>
        </w:tc>
        <w:tc>
          <w:tcPr>
            <w:tcW w:w="0" w:type="auto"/>
            <w:tcBorders>
              <w:top w:val="nil"/>
              <w:left w:val="nil"/>
              <w:bottom w:val="single" w:sz="6" w:space="0" w:color="000000"/>
              <w:right w:val="nil"/>
            </w:tcBorders>
            <w:shd w:val="clear" w:color="auto" w:fill="FA8072"/>
            <w:vAlign w:val="center"/>
            <w:hideMark/>
          </w:tcPr>
          <w:p w14:paraId="186F6F26"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w:t>
            </w:r>
          </w:p>
        </w:tc>
        <w:tc>
          <w:tcPr>
            <w:tcW w:w="0" w:type="auto"/>
            <w:tcBorders>
              <w:top w:val="nil"/>
              <w:left w:val="nil"/>
              <w:bottom w:val="single" w:sz="6" w:space="0" w:color="000000"/>
              <w:right w:val="nil"/>
            </w:tcBorders>
            <w:shd w:val="clear" w:color="auto" w:fill="CD5C5C"/>
            <w:vAlign w:val="center"/>
            <w:hideMark/>
          </w:tcPr>
          <w:p w14:paraId="0607CB7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0,6%</w:t>
            </w:r>
          </w:p>
        </w:tc>
        <w:tc>
          <w:tcPr>
            <w:tcW w:w="0" w:type="auto"/>
            <w:tcBorders>
              <w:top w:val="nil"/>
              <w:left w:val="nil"/>
              <w:bottom w:val="single" w:sz="6" w:space="0" w:color="000000"/>
              <w:right w:val="nil"/>
            </w:tcBorders>
            <w:shd w:val="clear" w:color="auto" w:fill="CD5C5C"/>
            <w:vAlign w:val="center"/>
            <w:hideMark/>
          </w:tcPr>
          <w:p w14:paraId="741552B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w:t>
            </w:r>
          </w:p>
        </w:tc>
        <w:tc>
          <w:tcPr>
            <w:tcW w:w="0" w:type="auto"/>
            <w:tcBorders>
              <w:top w:val="nil"/>
              <w:left w:val="nil"/>
              <w:bottom w:val="single" w:sz="6" w:space="0" w:color="000000"/>
              <w:right w:val="nil"/>
            </w:tcBorders>
            <w:shd w:val="clear" w:color="auto" w:fill="CD5C5C"/>
            <w:vAlign w:val="center"/>
            <w:hideMark/>
          </w:tcPr>
          <w:p w14:paraId="7113496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0,8%</w:t>
            </w:r>
          </w:p>
        </w:tc>
        <w:tc>
          <w:tcPr>
            <w:tcW w:w="0" w:type="auto"/>
            <w:tcBorders>
              <w:top w:val="nil"/>
              <w:left w:val="nil"/>
              <w:bottom w:val="single" w:sz="6" w:space="0" w:color="000000"/>
              <w:right w:val="nil"/>
            </w:tcBorders>
            <w:shd w:val="clear" w:color="auto" w:fill="CD5C5C"/>
            <w:vAlign w:val="center"/>
            <w:hideMark/>
          </w:tcPr>
          <w:p w14:paraId="0BF448FE"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w:t>
            </w:r>
          </w:p>
        </w:tc>
        <w:tc>
          <w:tcPr>
            <w:tcW w:w="0" w:type="auto"/>
            <w:tcBorders>
              <w:top w:val="nil"/>
              <w:left w:val="nil"/>
              <w:bottom w:val="single" w:sz="6" w:space="0" w:color="000000"/>
              <w:right w:val="nil"/>
            </w:tcBorders>
            <w:shd w:val="clear" w:color="auto" w:fill="CD5C5C"/>
            <w:vAlign w:val="center"/>
            <w:hideMark/>
          </w:tcPr>
          <w:p w14:paraId="35A0F7E3"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0,5%</w:t>
            </w:r>
          </w:p>
        </w:tc>
        <w:tc>
          <w:tcPr>
            <w:tcW w:w="0" w:type="auto"/>
            <w:tcBorders>
              <w:top w:val="nil"/>
              <w:left w:val="nil"/>
              <w:bottom w:val="single" w:sz="6" w:space="0" w:color="000000"/>
              <w:right w:val="nil"/>
            </w:tcBorders>
            <w:shd w:val="clear" w:color="auto" w:fill="CD5C5C"/>
            <w:vAlign w:val="center"/>
            <w:hideMark/>
          </w:tcPr>
          <w:p w14:paraId="7B52A178"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w:t>
            </w:r>
          </w:p>
        </w:tc>
        <w:tc>
          <w:tcPr>
            <w:tcW w:w="0" w:type="auto"/>
            <w:tcBorders>
              <w:top w:val="nil"/>
              <w:left w:val="nil"/>
              <w:bottom w:val="single" w:sz="6" w:space="0" w:color="000000"/>
              <w:right w:val="nil"/>
            </w:tcBorders>
            <w:shd w:val="clear" w:color="auto" w:fill="CD5C5C"/>
            <w:vAlign w:val="center"/>
            <w:hideMark/>
          </w:tcPr>
          <w:p w14:paraId="2C0968EA"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w:t>
            </w:r>
          </w:p>
        </w:tc>
        <w:tc>
          <w:tcPr>
            <w:tcW w:w="0" w:type="auto"/>
            <w:tcBorders>
              <w:top w:val="nil"/>
              <w:left w:val="nil"/>
              <w:bottom w:val="single" w:sz="6" w:space="0" w:color="000000"/>
              <w:right w:val="nil"/>
            </w:tcBorders>
            <w:shd w:val="clear" w:color="auto" w:fill="CD5C5C"/>
            <w:vAlign w:val="center"/>
            <w:hideMark/>
          </w:tcPr>
          <w:p w14:paraId="000A974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0,2%</w:t>
            </w:r>
          </w:p>
        </w:tc>
      </w:tr>
      <w:tr w:rsidR="00344381" w:rsidRPr="00A15598" w14:paraId="28856E07" w14:textId="77777777" w:rsidTr="00344381">
        <w:tc>
          <w:tcPr>
            <w:tcW w:w="0" w:type="auto"/>
            <w:tcBorders>
              <w:top w:val="nil"/>
              <w:left w:val="nil"/>
              <w:bottom w:val="nil"/>
              <w:right w:val="nil"/>
            </w:tcBorders>
            <w:shd w:val="clear" w:color="auto" w:fill="C0C0C0"/>
            <w:vAlign w:val="center"/>
            <w:hideMark/>
          </w:tcPr>
          <w:p w14:paraId="6BF3F67D"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No definido</w:t>
            </w:r>
          </w:p>
        </w:tc>
        <w:tc>
          <w:tcPr>
            <w:tcW w:w="0" w:type="auto"/>
            <w:tcBorders>
              <w:top w:val="nil"/>
              <w:left w:val="nil"/>
              <w:bottom w:val="nil"/>
              <w:right w:val="nil"/>
            </w:tcBorders>
            <w:shd w:val="clear" w:color="auto" w:fill="F4A460"/>
            <w:vAlign w:val="center"/>
            <w:hideMark/>
          </w:tcPr>
          <w:p w14:paraId="094404DC"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2,0%</w:t>
            </w:r>
          </w:p>
        </w:tc>
        <w:tc>
          <w:tcPr>
            <w:tcW w:w="0" w:type="auto"/>
            <w:tcBorders>
              <w:top w:val="nil"/>
              <w:left w:val="nil"/>
              <w:bottom w:val="nil"/>
              <w:right w:val="nil"/>
            </w:tcBorders>
            <w:shd w:val="clear" w:color="auto" w:fill="FA8072"/>
            <w:vAlign w:val="center"/>
            <w:hideMark/>
          </w:tcPr>
          <w:p w14:paraId="117B31AF"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w:t>
            </w:r>
          </w:p>
        </w:tc>
        <w:tc>
          <w:tcPr>
            <w:tcW w:w="0" w:type="auto"/>
            <w:tcBorders>
              <w:top w:val="nil"/>
              <w:left w:val="nil"/>
              <w:bottom w:val="nil"/>
              <w:right w:val="nil"/>
            </w:tcBorders>
            <w:shd w:val="clear" w:color="auto" w:fill="CD5C5C"/>
            <w:vAlign w:val="center"/>
            <w:hideMark/>
          </w:tcPr>
          <w:p w14:paraId="3E2DBE2C"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0,8%</w:t>
            </w:r>
          </w:p>
        </w:tc>
        <w:tc>
          <w:tcPr>
            <w:tcW w:w="0" w:type="auto"/>
            <w:tcBorders>
              <w:top w:val="nil"/>
              <w:left w:val="nil"/>
              <w:bottom w:val="nil"/>
              <w:right w:val="nil"/>
            </w:tcBorders>
            <w:shd w:val="clear" w:color="auto" w:fill="CD5C5C"/>
            <w:vAlign w:val="center"/>
            <w:hideMark/>
          </w:tcPr>
          <w:p w14:paraId="7BE56F47"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0,9%</w:t>
            </w:r>
          </w:p>
        </w:tc>
        <w:tc>
          <w:tcPr>
            <w:tcW w:w="0" w:type="auto"/>
            <w:tcBorders>
              <w:top w:val="nil"/>
              <w:left w:val="nil"/>
              <w:bottom w:val="nil"/>
              <w:right w:val="nil"/>
            </w:tcBorders>
            <w:shd w:val="clear" w:color="auto" w:fill="CD5C5C"/>
            <w:vAlign w:val="center"/>
            <w:hideMark/>
          </w:tcPr>
          <w:p w14:paraId="2BEAFA12"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w:t>
            </w:r>
          </w:p>
        </w:tc>
        <w:tc>
          <w:tcPr>
            <w:tcW w:w="0" w:type="auto"/>
            <w:tcBorders>
              <w:top w:val="nil"/>
              <w:left w:val="nil"/>
              <w:bottom w:val="nil"/>
              <w:right w:val="nil"/>
            </w:tcBorders>
            <w:shd w:val="clear" w:color="auto" w:fill="CD5C5C"/>
            <w:vAlign w:val="center"/>
            <w:hideMark/>
          </w:tcPr>
          <w:p w14:paraId="70884101"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0,1%</w:t>
            </w:r>
          </w:p>
        </w:tc>
        <w:tc>
          <w:tcPr>
            <w:tcW w:w="0" w:type="auto"/>
            <w:tcBorders>
              <w:top w:val="nil"/>
              <w:left w:val="nil"/>
              <w:bottom w:val="nil"/>
              <w:right w:val="nil"/>
            </w:tcBorders>
            <w:shd w:val="clear" w:color="auto" w:fill="CD5C5C"/>
            <w:vAlign w:val="center"/>
            <w:hideMark/>
          </w:tcPr>
          <w:p w14:paraId="3632B39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0,02%</w:t>
            </w:r>
          </w:p>
        </w:tc>
        <w:tc>
          <w:tcPr>
            <w:tcW w:w="0" w:type="auto"/>
            <w:tcBorders>
              <w:top w:val="nil"/>
              <w:left w:val="nil"/>
              <w:bottom w:val="nil"/>
              <w:right w:val="nil"/>
            </w:tcBorders>
            <w:shd w:val="clear" w:color="auto" w:fill="CD5C5C"/>
            <w:vAlign w:val="center"/>
            <w:hideMark/>
          </w:tcPr>
          <w:p w14:paraId="52211F0B"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0,02%</w:t>
            </w:r>
          </w:p>
        </w:tc>
        <w:tc>
          <w:tcPr>
            <w:tcW w:w="0" w:type="auto"/>
            <w:tcBorders>
              <w:top w:val="nil"/>
              <w:left w:val="nil"/>
              <w:bottom w:val="nil"/>
              <w:right w:val="nil"/>
            </w:tcBorders>
            <w:shd w:val="clear" w:color="auto" w:fill="CD5C5C"/>
            <w:vAlign w:val="center"/>
            <w:hideMark/>
          </w:tcPr>
          <w:p w14:paraId="5BB0CBC0" w14:textId="77777777"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0,02%</w:t>
            </w:r>
          </w:p>
        </w:tc>
      </w:tr>
      <w:tr w:rsidR="00344381" w:rsidRPr="00A15598" w14:paraId="7C3B7CCD" w14:textId="77777777" w:rsidTr="00344381">
        <w:tc>
          <w:tcPr>
            <w:tcW w:w="0" w:type="auto"/>
            <w:tcBorders>
              <w:top w:val="nil"/>
              <w:left w:val="nil"/>
              <w:bottom w:val="single" w:sz="6" w:space="0" w:color="000000"/>
              <w:right w:val="nil"/>
            </w:tcBorders>
            <w:shd w:val="clear" w:color="auto" w:fill="C0C0C0"/>
            <w:vAlign w:val="center"/>
          </w:tcPr>
          <w:p w14:paraId="21DABDE3" w14:textId="77777777"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F4A460"/>
            <w:vAlign w:val="center"/>
          </w:tcPr>
          <w:p w14:paraId="5FB381E8" w14:textId="77777777"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FA8072"/>
            <w:vAlign w:val="center"/>
          </w:tcPr>
          <w:p w14:paraId="048B9653" w14:textId="77777777"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14:paraId="7A1296FC" w14:textId="77777777"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14:paraId="36374186" w14:textId="77777777"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14:paraId="00D994D0" w14:textId="77777777"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14:paraId="362EAEF4" w14:textId="77777777"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14:paraId="37FA93BE" w14:textId="77777777"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14:paraId="2302C1CF" w14:textId="77777777"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14:paraId="3BD1D740" w14:textId="77777777" w:rsidR="00344381" w:rsidRPr="00A15598" w:rsidRDefault="00344381" w:rsidP="00344381">
            <w:pPr>
              <w:spacing w:after="0" w:line="240" w:lineRule="auto"/>
              <w:jc w:val="both"/>
              <w:rPr>
                <w:rFonts w:eastAsia="Times New Roman" w:cstheme="minorHAnsi"/>
                <w:sz w:val="24"/>
                <w:szCs w:val="24"/>
                <w:lang w:eastAsia="es-CO"/>
              </w:rPr>
            </w:pPr>
          </w:p>
        </w:tc>
      </w:tr>
    </w:tbl>
    <w:p w14:paraId="6F0F2462" w14:textId="77777777" w:rsidR="00344381" w:rsidRPr="00A15598" w:rsidRDefault="00344381" w:rsidP="009A79F2">
      <w:pPr>
        <w:jc w:val="center"/>
        <w:rPr>
          <w:rFonts w:cstheme="minorHAnsi"/>
          <w:sz w:val="24"/>
          <w:szCs w:val="24"/>
          <w:shd w:val="clear" w:color="auto" w:fill="FFFFFF"/>
        </w:rPr>
      </w:pPr>
      <w:r w:rsidRPr="00A15598">
        <w:rPr>
          <w:rFonts w:cstheme="minorHAnsi"/>
          <w:sz w:val="24"/>
          <w:szCs w:val="24"/>
          <w:shd w:val="clear" w:color="auto" w:fill="FFFFFF"/>
        </w:rPr>
        <w:t>Tabla 2. Delitos contra menores lugares de hecho reportados</w:t>
      </w:r>
    </w:p>
    <w:p w14:paraId="32F3C66D" w14:textId="64582302" w:rsidR="00344381" w:rsidRPr="00A15598" w:rsidRDefault="00344381" w:rsidP="00344381">
      <w:pPr>
        <w:jc w:val="both"/>
        <w:rPr>
          <w:rFonts w:cstheme="minorHAnsi"/>
          <w:sz w:val="24"/>
          <w:szCs w:val="24"/>
        </w:rPr>
      </w:pPr>
      <w:r w:rsidRPr="00A15598">
        <w:rPr>
          <w:rFonts w:cstheme="minorHAnsi"/>
          <w:sz w:val="24"/>
          <w:szCs w:val="24"/>
        </w:rPr>
        <w:t xml:space="preserve">Se plantea la Corte Constitucional, el caso de la contratación de profesores o profesoras para un jardín infantil. En estos eventos, el deber de protección de los y las menores aunado a su interés superior, habilitarían a los particulares para exigir información suficiente en relación con la existencia o no de antecedentes penales, sobre todo en materia de violencia intrafamiliar, delitos contra la libertad sexual, etc., en relación con posibles futuros empleados. </w:t>
      </w:r>
    </w:p>
    <w:p w14:paraId="4D102321" w14:textId="77777777" w:rsidR="00344381" w:rsidRPr="00A15598" w:rsidRDefault="00344381" w:rsidP="00344381">
      <w:pPr>
        <w:jc w:val="both"/>
        <w:rPr>
          <w:rFonts w:cstheme="minorHAnsi"/>
          <w:sz w:val="24"/>
          <w:szCs w:val="24"/>
        </w:rPr>
      </w:pPr>
      <w:r w:rsidRPr="00A15598">
        <w:rPr>
          <w:rFonts w:cstheme="minorHAnsi"/>
          <w:i/>
          <w:sz w:val="24"/>
          <w:szCs w:val="24"/>
        </w:rPr>
        <w:t xml:space="preserve">(…) </w:t>
      </w:r>
      <w:r w:rsidRPr="00A15598">
        <w:rPr>
          <w:rFonts w:cstheme="minorHAnsi"/>
          <w:b/>
          <w:i/>
          <w:sz w:val="24"/>
          <w:szCs w:val="24"/>
        </w:rPr>
        <w:t>el caso de la protección de la niñez, sería una posible excepción a la limitación en la circulación de la información sobre antecedentes penales que propone la Corte como parte de la decisión en este cas</w:t>
      </w:r>
      <w:r w:rsidRPr="00A15598">
        <w:rPr>
          <w:rFonts w:cstheme="minorHAnsi"/>
          <w:b/>
          <w:sz w:val="24"/>
          <w:szCs w:val="24"/>
        </w:rPr>
        <w:t>o</w:t>
      </w:r>
      <w:r w:rsidRPr="00A15598">
        <w:rPr>
          <w:rFonts w:cstheme="minorHAnsi"/>
          <w:sz w:val="24"/>
          <w:szCs w:val="24"/>
        </w:rPr>
        <w:t>.</w:t>
      </w:r>
      <w:r w:rsidRPr="00A15598">
        <w:rPr>
          <w:rStyle w:val="Refdenotaalpie"/>
          <w:rFonts w:cstheme="minorHAnsi"/>
          <w:sz w:val="24"/>
          <w:szCs w:val="24"/>
        </w:rPr>
        <w:footnoteReference w:id="8"/>
      </w:r>
      <w:r w:rsidRPr="00A15598">
        <w:rPr>
          <w:rFonts w:cstheme="minorHAnsi"/>
          <w:sz w:val="24"/>
          <w:szCs w:val="24"/>
        </w:rPr>
        <w:t xml:space="preserve"> (negrillas fuera de texto). </w:t>
      </w:r>
    </w:p>
    <w:p w14:paraId="7F209987" w14:textId="77777777" w:rsidR="00344381" w:rsidRPr="00A15598" w:rsidRDefault="00344381" w:rsidP="00344381">
      <w:pPr>
        <w:jc w:val="both"/>
        <w:rPr>
          <w:rFonts w:cstheme="minorHAnsi"/>
          <w:sz w:val="24"/>
          <w:szCs w:val="24"/>
        </w:rPr>
      </w:pPr>
      <w:r w:rsidRPr="00A15598">
        <w:rPr>
          <w:rFonts w:cstheme="minorHAnsi"/>
          <w:sz w:val="24"/>
          <w:szCs w:val="24"/>
        </w:rPr>
        <w:lastRenderedPageBreak/>
        <w:t>En Colombia, en lo que atañe a las cifras de reincidencia, entendida como reingreso al Sistema Penitenciario y Carcelario, encontramos que del total de Población Privada de la Libertad (PPL) por delitos sexuales contra niños, niñas y adolescentes, cerca del 9% es reincidente</w:t>
      </w:r>
      <w:r w:rsidRPr="00A15598">
        <w:rPr>
          <w:rStyle w:val="Refdenotaalpie"/>
          <w:rFonts w:cstheme="minorHAnsi"/>
          <w:sz w:val="24"/>
          <w:szCs w:val="24"/>
        </w:rPr>
        <w:footnoteReference w:id="9"/>
      </w:r>
      <w:r w:rsidRPr="00A15598">
        <w:rPr>
          <w:rFonts w:cstheme="minorHAnsi"/>
          <w:sz w:val="24"/>
          <w:szCs w:val="24"/>
        </w:rPr>
        <w:t xml:space="preserve"> (INPEC2019). En relación con el total de población reincidente, que es de 19.226 por todos los delitos en el Sistema Penitenciario y Carcelario, las personas que presentan reincidencia por delitos sexuales contra niños, niñas y adolescentes representan el 6,47%. (INPEC- 2019). </w:t>
      </w:r>
    </w:p>
    <w:p w14:paraId="20AEC981" w14:textId="77777777" w:rsidR="00344381" w:rsidRPr="00A15598" w:rsidRDefault="00344381" w:rsidP="00344381">
      <w:pPr>
        <w:jc w:val="both"/>
        <w:rPr>
          <w:rFonts w:cstheme="minorHAnsi"/>
          <w:sz w:val="24"/>
          <w:szCs w:val="24"/>
        </w:rPr>
      </w:pPr>
      <w:r w:rsidRPr="00A15598">
        <w:rPr>
          <w:rFonts w:cstheme="minorHAnsi"/>
          <w:sz w:val="24"/>
          <w:szCs w:val="24"/>
        </w:rPr>
        <w:t>En lo que concierne a los escenarios del hecho constitutivo de delito sexual, los escenarios educativos ocupan el tercer lugar con un porcentaje de ocurrencia del 3,10% de casos, áreas recreativas y deportivas 1,36%; los lugares de cuidado personal 0,28%; sitios de culto religioso 011%; sitio de actividades culturales, 0,13%; (INML -2018)</w:t>
      </w:r>
      <w:r w:rsidRPr="00A15598">
        <w:rPr>
          <w:rStyle w:val="Refdenotaalpie"/>
          <w:rFonts w:cstheme="minorHAnsi"/>
          <w:sz w:val="24"/>
          <w:szCs w:val="24"/>
        </w:rPr>
        <w:footnoteReference w:id="10"/>
      </w:r>
      <w:r w:rsidRPr="00A15598">
        <w:rPr>
          <w:rFonts w:cstheme="minorHAnsi"/>
          <w:sz w:val="24"/>
          <w:szCs w:val="24"/>
        </w:rPr>
        <w:t xml:space="preserve"> . </w:t>
      </w:r>
    </w:p>
    <w:p w14:paraId="6C751E45" w14:textId="77777777" w:rsidR="00344381" w:rsidRPr="00A15598" w:rsidRDefault="00344381" w:rsidP="00344381">
      <w:pPr>
        <w:jc w:val="both"/>
        <w:rPr>
          <w:rFonts w:cstheme="minorHAnsi"/>
          <w:sz w:val="24"/>
          <w:szCs w:val="24"/>
        </w:rPr>
      </w:pPr>
      <w:r w:rsidRPr="00A15598">
        <w:rPr>
          <w:rFonts w:cstheme="minorHAnsi"/>
          <w:sz w:val="24"/>
          <w:szCs w:val="24"/>
        </w:rPr>
        <w:t>Según la actividad que desempeñaba la víctima durante el hecho, es dable resaltar que en actividades relacionadas con su cuidado personal el número correspondieron a un 30,67 % de los casos; asistencia a eventos culturales o deportivos 6,58%; estudios y aprendizaje 0,74%. (INML - 2018)</w:t>
      </w:r>
      <w:r w:rsidRPr="00A15598">
        <w:rPr>
          <w:rStyle w:val="Refdenotaalpie"/>
          <w:rFonts w:cstheme="minorHAnsi"/>
          <w:sz w:val="24"/>
          <w:szCs w:val="24"/>
        </w:rPr>
        <w:footnoteReference w:id="11"/>
      </w:r>
      <w:r w:rsidRPr="00A15598">
        <w:rPr>
          <w:rFonts w:cstheme="minorHAnsi"/>
          <w:sz w:val="24"/>
          <w:szCs w:val="24"/>
        </w:rPr>
        <w:t xml:space="preserve">. </w:t>
      </w:r>
    </w:p>
    <w:p w14:paraId="7CA58C68" w14:textId="76762027" w:rsidR="00D60436" w:rsidRPr="00A15598" w:rsidRDefault="00344381" w:rsidP="007B5862">
      <w:pPr>
        <w:jc w:val="both"/>
        <w:rPr>
          <w:rFonts w:cstheme="minorHAnsi"/>
          <w:sz w:val="24"/>
          <w:szCs w:val="24"/>
        </w:rPr>
      </w:pPr>
      <w:r w:rsidRPr="00A15598">
        <w:rPr>
          <w:rFonts w:cstheme="minorHAnsi"/>
          <w:sz w:val="24"/>
          <w:szCs w:val="24"/>
        </w:rPr>
        <w:t>Estas cifras nos permiten justificar que la exigencia de idoneidad a quienes desempeñaran actividades de cuidado en los entornos de formación de nuestros niños y niñas, es una medida de prevención y protección frente a aquellos escenarios en los que se enc</w:t>
      </w:r>
      <w:r w:rsidR="007B5862" w:rsidRPr="00A15598">
        <w:rPr>
          <w:rFonts w:cstheme="minorHAnsi"/>
          <w:sz w:val="24"/>
          <w:szCs w:val="24"/>
        </w:rPr>
        <w:t>uentran en mayor vulnerabilidad.</w:t>
      </w:r>
    </w:p>
    <w:p w14:paraId="69A7BC78" w14:textId="77777777" w:rsidR="00344381" w:rsidRPr="00A15598" w:rsidRDefault="00344381" w:rsidP="007B5862">
      <w:pPr>
        <w:pStyle w:val="Prrafodelista"/>
        <w:numPr>
          <w:ilvl w:val="0"/>
          <w:numId w:val="1"/>
        </w:numPr>
        <w:jc w:val="both"/>
        <w:rPr>
          <w:rFonts w:cstheme="minorHAnsi"/>
          <w:b/>
          <w:sz w:val="24"/>
          <w:szCs w:val="24"/>
        </w:rPr>
      </w:pPr>
      <w:r w:rsidRPr="00A15598">
        <w:rPr>
          <w:rFonts w:cstheme="minorHAnsi"/>
          <w:b/>
          <w:sz w:val="24"/>
          <w:szCs w:val="24"/>
        </w:rPr>
        <w:t xml:space="preserve">MARCO JURICIO  </w:t>
      </w:r>
    </w:p>
    <w:p w14:paraId="62F6441F" w14:textId="77777777" w:rsidR="00344381" w:rsidRPr="00A15598" w:rsidRDefault="007B5862" w:rsidP="00344381">
      <w:pPr>
        <w:ind w:left="360"/>
        <w:jc w:val="both"/>
        <w:rPr>
          <w:rFonts w:cstheme="minorHAnsi"/>
          <w:b/>
          <w:sz w:val="24"/>
          <w:szCs w:val="24"/>
        </w:rPr>
      </w:pPr>
      <w:r w:rsidRPr="00A15598">
        <w:rPr>
          <w:rFonts w:cstheme="minorHAnsi"/>
          <w:b/>
          <w:sz w:val="24"/>
          <w:szCs w:val="24"/>
        </w:rPr>
        <w:t>5</w:t>
      </w:r>
      <w:r w:rsidR="00344381" w:rsidRPr="00A15598">
        <w:rPr>
          <w:rFonts w:cstheme="minorHAnsi"/>
          <w:b/>
          <w:sz w:val="24"/>
          <w:szCs w:val="24"/>
        </w:rPr>
        <w:t>.1 Marco Constitucional</w:t>
      </w:r>
    </w:p>
    <w:p w14:paraId="1CA0551F" w14:textId="77777777" w:rsidR="00344381" w:rsidRPr="00A15598" w:rsidRDefault="00344381" w:rsidP="00344381">
      <w:pPr>
        <w:jc w:val="both"/>
        <w:rPr>
          <w:rFonts w:cstheme="minorHAnsi"/>
          <w:sz w:val="24"/>
          <w:szCs w:val="24"/>
        </w:rPr>
      </w:pPr>
      <w:r w:rsidRPr="00A15598">
        <w:rPr>
          <w:rFonts w:cstheme="minorHAnsi"/>
          <w:sz w:val="24"/>
          <w:szCs w:val="24"/>
        </w:rPr>
        <w:t xml:space="preserve">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w:t>
      </w:r>
      <w:r w:rsidRPr="00A15598">
        <w:rPr>
          <w:rFonts w:cstheme="minorHAnsi"/>
          <w:sz w:val="24"/>
          <w:szCs w:val="24"/>
        </w:rPr>
        <w:lastRenderedPageBreak/>
        <w:t>exigir de la autoridad competente su cumplimiento y la sanción de los infractores. Los derechos de los niños prevalecen sobre los derechos de los demás.</w:t>
      </w:r>
    </w:p>
    <w:p w14:paraId="4DEE4367" w14:textId="77777777" w:rsidR="00344381" w:rsidRPr="00A15598" w:rsidRDefault="007B5862" w:rsidP="00344381">
      <w:pPr>
        <w:ind w:firstLine="708"/>
        <w:jc w:val="both"/>
        <w:rPr>
          <w:rFonts w:cstheme="minorHAnsi"/>
          <w:b/>
          <w:sz w:val="24"/>
          <w:szCs w:val="24"/>
        </w:rPr>
      </w:pPr>
      <w:r w:rsidRPr="00A15598">
        <w:rPr>
          <w:rFonts w:cstheme="minorHAnsi"/>
          <w:b/>
          <w:sz w:val="24"/>
          <w:szCs w:val="24"/>
        </w:rPr>
        <w:t>5</w:t>
      </w:r>
      <w:r w:rsidR="00344381" w:rsidRPr="00A15598">
        <w:rPr>
          <w:rFonts w:cstheme="minorHAnsi"/>
          <w:b/>
          <w:sz w:val="24"/>
          <w:szCs w:val="24"/>
        </w:rPr>
        <w:t>.2 Marco Legal</w:t>
      </w:r>
    </w:p>
    <w:p w14:paraId="489CA8A6" w14:textId="77777777" w:rsidR="00344381" w:rsidRPr="00A15598" w:rsidRDefault="00344381" w:rsidP="00344381">
      <w:pPr>
        <w:pStyle w:val="Prrafodelista"/>
        <w:numPr>
          <w:ilvl w:val="0"/>
          <w:numId w:val="4"/>
        </w:numPr>
        <w:jc w:val="both"/>
        <w:rPr>
          <w:rFonts w:cstheme="minorHAnsi"/>
          <w:sz w:val="24"/>
          <w:szCs w:val="24"/>
        </w:rPr>
      </w:pPr>
      <w:r w:rsidRPr="00A15598">
        <w:rPr>
          <w:rFonts w:cstheme="minorHAnsi"/>
          <w:sz w:val="24"/>
          <w:szCs w:val="24"/>
        </w:rPr>
        <w:t xml:space="preserve">Ley 1918 de 2018. “Por medio de la cual se establece el régimen de inhabilidades a quienes hayan sido condenados por delitos sexuales cometidos contra menores, se crea el registro de inhabilidades y se dictan otras disposiciones”. </w:t>
      </w:r>
    </w:p>
    <w:p w14:paraId="3CFEC72A" w14:textId="77777777" w:rsidR="00344381" w:rsidRPr="00A15598" w:rsidRDefault="00344381" w:rsidP="00344381">
      <w:pPr>
        <w:pStyle w:val="Prrafodelista"/>
        <w:numPr>
          <w:ilvl w:val="0"/>
          <w:numId w:val="4"/>
        </w:numPr>
        <w:jc w:val="both"/>
        <w:rPr>
          <w:rFonts w:cstheme="minorHAnsi"/>
          <w:sz w:val="24"/>
          <w:szCs w:val="24"/>
        </w:rPr>
      </w:pPr>
      <w:r w:rsidRPr="00A15598">
        <w:rPr>
          <w:rFonts w:cstheme="minorHAnsi"/>
          <w:sz w:val="24"/>
          <w:szCs w:val="24"/>
        </w:rPr>
        <w:t xml:space="preserve">Ley 1329 DE 2009 “Por medio de la cual se modifica el Título IV de la Ley 599 de 2000 y se dictan otras disposiciones para contrarrestar la explotación sexual comercial de niños, niñas y adolescentes”. </w:t>
      </w:r>
    </w:p>
    <w:p w14:paraId="152B6E74" w14:textId="77777777" w:rsidR="00344381" w:rsidRPr="00A15598" w:rsidRDefault="00344381" w:rsidP="00344381">
      <w:pPr>
        <w:pStyle w:val="Prrafodelista"/>
        <w:numPr>
          <w:ilvl w:val="0"/>
          <w:numId w:val="4"/>
        </w:numPr>
        <w:jc w:val="both"/>
        <w:rPr>
          <w:rFonts w:cstheme="minorHAnsi"/>
          <w:sz w:val="24"/>
          <w:szCs w:val="24"/>
        </w:rPr>
      </w:pPr>
      <w:r w:rsidRPr="00A15598">
        <w:rPr>
          <w:rFonts w:cstheme="minorHAnsi"/>
          <w:sz w:val="24"/>
          <w:szCs w:val="24"/>
        </w:rPr>
        <w:t>LEY 1236 DE 2008 Por medio de la cual se modifican algunos artículos del Código Penal relativos a delitos de abuso sexual</w:t>
      </w:r>
    </w:p>
    <w:p w14:paraId="3E390399" w14:textId="77777777" w:rsidR="00344381" w:rsidRPr="00A15598" w:rsidRDefault="00344381" w:rsidP="00344381">
      <w:pPr>
        <w:pStyle w:val="Prrafodelista"/>
        <w:numPr>
          <w:ilvl w:val="0"/>
          <w:numId w:val="4"/>
        </w:numPr>
        <w:jc w:val="both"/>
        <w:rPr>
          <w:rFonts w:cstheme="minorHAnsi"/>
          <w:sz w:val="24"/>
          <w:szCs w:val="24"/>
        </w:rPr>
      </w:pPr>
      <w:r w:rsidRPr="00A15598">
        <w:rPr>
          <w:rFonts w:cstheme="minorHAnsi"/>
          <w:sz w:val="24"/>
          <w:szCs w:val="24"/>
        </w:rPr>
        <w:t xml:space="preserve"> Ley 1146 de 2007 Prevención de la violencia sexual y atención integral de los niños, niñas y adolescentes. </w:t>
      </w:r>
    </w:p>
    <w:p w14:paraId="2C4BEBE9" w14:textId="77777777" w:rsidR="00344381" w:rsidRPr="00A15598" w:rsidRDefault="00344381" w:rsidP="00344381">
      <w:pPr>
        <w:pStyle w:val="Prrafodelista"/>
        <w:numPr>
          <w:ilvl w:val="0"/>
          <w:numId w:val="4"/>
        </w:numPr>
        <w:jc w:val="both"/>
        <w:rPr>
          <w:rFonts w:cstheme="minorHAnsi"/>
          <w:sz w:val="24"/>
          <w:szCs w:val="24"/>
        </w:rPr>
      </w:pPr>
      <w:r w:rsidRPr="00A15598">
        <w:rPr>
          <w:rFonts w:cstheme="minorHAnsi"/>
          <w:sz w:val="24"/>
          <w:szCs w:val="24"/>
        </w:rPr>
        <w:t xml:space="preserve">Ley 1098 de 2006 Por la cual se expide el Código de la Infancia y la Adolescencia. </w:t>
      </w:r>
    </w:p>
    <w:p w14:paraId="77A60FA0" w14:textId="77777777" w:rsidR="00344381" w:rsidRPr="00A15598" w:rsidRDefault="00344381" w:rsidP="00344381">
      <w:pPr>
        <w:pStyle w:val="Prrafodelista"/>
        <w:jc w:val="both"/>
        <w:rPr>
          <w:rFonts w:eastAsia="MS Gothic" w:cstheme="minorHAnsi"/>
          <w:b/>
          <w:sz w:val="24"/>
          <w:szCs w:val="24"/>
        </w:rPr>
      </w:pPr>
    </w:p>
    <w:p w14:paraId="38B25FFE" w14:textId="77777777" w:rsidR="00344381" w:rsidRPr="00A15598" w:rsidRDefault="007B5862" w:rsidP="007B5862">
      <w:pPr>
        <w:ind w:left="720"/>
        <w:jc w:val="both"/>
        <w:rPr>
          <w:rFonts w:cstheme="minorHAnsi"/>
          <w:b/>
          <w:sz w:val="24"/>
          <w:szCs w:val="24"/>
        </w:rPr>
      </w:pPr>
      <w:r w:rsidRPr="00A15598">
        <w:rPr>
          <w:rFonts w:cstheme="minorHAnsi"/>
          <w:b/>
          <w:sz w:val="24"/>
          <w:szCs w:val="24"/>
        </w:rPr>
        <w:t>5.3</w:t>
      </w:r>
      <w:r w:rsidR="00344381" w:rsidRPr="00A15598">
        <w:rPr>
          <w:rFonts w:cstheme="minorHAnsi"/>
          <w:b/>
          <w:sz w:val="24"/>
          <w:szCs w:val="24"/>
        </w:rPr>
        <w:t xml:space="preserve"> Legislación Comparada </w:t>
      </w:r>
      <w:r w:rsidR="00344381" w:rsidRPr="00A15598">
        <w:rPr>
          <w:rStyle w:val="Refdenotaalpie"/>
          <w:rFonts w:cstheme="minorHAnsi"/>
          <w:b/>
          <w:sz w:val="24"/>
          <w:szCs w:val="24"/>
        </w:rPr>
        <w:footnoteReference w:id="12"/>
      </w:r>
    </w:p>
    <w:p w14:paraId="1EBE365E" w14:textId="7E4D211B" w:rsidR="009A79F2" w:rsidRPr="00A15598" w:rsidRDefault="00344381" w:rsidP="00AD0D68">
      <w:pPr>
        <w:ind w:left="708"/>
        <w:jc w:val="both"/>
        <w:rPr>
          <w:rFonts w:cstheme="minorHAnsi"/>
          <w:sz w:val="24"/>
          <w:szCs w:val="24"/>
        </w:rPr>
      </w:pPr>
      <w:r w:rsidRPr="00A15598">
        <w:rPr>
          <w:rFonts w:cstheme="minorHAnsi"/>
          <w:sz w:val="24"/>
          <w:szCs w:val="24"/>
        </w:rPr>
        <w:t xml:space="preserve">Los sistemas de registro como mecanismos de protección social a los niños y niñas frente a las agresiones sexuales han tenido un amplio desarrollo en las legislaciones extranjeras, con adaptaciones propias de cada sistema de derecho. </w:t>
      </w:r>
    </w:p>
    <w:p w14:paraId="1D5CA729" w14:textId="77777777" w:rsidR="00344381" w:rsidRPr="00A15598" w:rsidRDefault="00344381" w:rsidP="00344381">
      <w:pPr>
        <w:ind w:left="708"/>
        <w:jc w:val="both"/>
        <w:rPr>
          <w:rFonts w:cstheme="minorHAnsi"/>
          <w:sz w:val="24"/>
          <w:szCs w:val="24"/>
        </w:rPr>
      </w:pPr>
      <w:r w:rsidRPr="00A15598">
        <w:rPr>
          <w:rFonts w:cstheme="minorHAnsi"/>
          <w:sz w:val="24"/>
          <w:szCs w:val="24"/>
        </w:rPr>
        <w:t xml:space="preserve">1) </w:t>
      </w:r>
      <w:r w:rsidRPr="00A15598">
        <w:rPr>
          <w:rFonts w:cstheme="minorHAnsi"/>
          <w:b/>
          <w:sz w:val="24"/>
          <w:szCs w:val="24"/>
        </w:rPr>
        <w:t>CHILE</w:t>
      </w:r>
      <w:r w:rsidRPr="00A15598">
        <w:rPr>
          <w:rFonts w:cstheme="minorHAnsi"/>
          <w:sz w:val="24"/>
          <w:szCs w:val="24"/>
        </w:rPr>
        <w:t xml:space="preserve"> </w:t>
      </w:r>
    </w:p>
    <w:p w14:paraId="0685A40B" w14:textId="77777777" w:rsidR="00344381" w:rsidRPr="00A15598" w:rsidRDefault="00344381" w:rsidP="00344381">
      <w:pPr>
        <w:ind w:left="708"/>
        <w:jc w:val="both"/>
        <w:rPr>
          <w:rFonts w:cstheme="minorHAnsi"/>
          <w:sz w:val="24"/>
          <w:szCs w:val="24"/>
        </w:rPr>
      </w:pPr>
      <w:r w:rsidRPr="00A15598">
        <w:rPr>
          <w:rFonts w:cstheme="minorHAnsi"/>
          <w:sz w:val="24"/>
          <w:szCs w:val="24"/>
        </w:rPr>
        <w:t xml:space="preserve">a) Registro de inhabilidades por delitos sexuales con menores de edad. El Registro de Inhabilidades de condenados por delitos sexuales contra menores de edad permite saber si una persona ha sido condenada por violación, abuso sexual, actos de connotación sexual y producción de pornografía infantil; sustracción de menores y robo con violencia o intimidación a menores de edad. </w:t>
      </w:r>
    </w:p>
    <w:p w14:paraId="4FF2ECCC" w14:textId="77777777" w:rsidR="00344381" w:rsidRPr="00A15598" w:rsidRDefault="00344381" w:rsidP="00344381">
      <w:pPr>
        <w:ind w:left="708"/>
        <w:jc w:val="both"/>
        <w:rPr>
          <w:rFonts w:cstheme="minorHAnsi"/>
          <w:sz w:val="24"/>
          <w:szCs w:val="24"/>
        </w:rPr>
      </w:pPr>
      <w:r w:rsidRPr="00A15598">
        <w:rPr>
          <w:rFonts w:cstheme="minorHAnsi"/>
          <w:sz w:val="24"/>
          <w:szCs w:val="24"/>
        </w:rPr>
        <w:t xml:space="preserve">b) Acceso de información a la comunidad. Basta ingresar al sitio web del Registro Civil y acceder al banner Consulta de inhabilidades para trabajar con menores de edad, en el cual de manera sencilla y gratuita obtendrá la información requerida. Ingresando el nombre y Rut de quién consulta y de la persona a verificar, el sistema </w:t>
      </w:r>
      <w:r w:rsidRPr="00A15598">
        <w:rPr>
          <w:rFonts w:cstheme="minorHAnsi"/>
          <w:sz w:val="24"/>
          <w:szCs w:val="24"/>
        </w:rPr>
        <w:lastRenderedPageBreak/>
        <w:t>de manera inmediata indicará si esta se encuentra inhabilitada para trabajar con menores de edad.</w:t>
      </w:r>
    </w:p>
    <w:p w14:paraId="35732DCB" w14:textId="77777777" w:rsidR="00344381" w:rsidRPr="00A15598" w:rsidRDefault="00344381" w:rsidP="00344381">
      <w:pPr>
        <w:ind w:left="708"/>
        <w:jc w:val="both"/>
        <w:rPr>
          <w:rFonts w:cstheme="minorHAnsi"/>
          <w:sz w:val="24"/>
          <w:szCs w:val="24"/>
        </w:rPr>
      </w:pPr>
      <w:r w:rsidRPr="00A15598">
        <w:rPr>
          <w:rFonts w:cstheme="minorHAnsi"/>
          <w:sz w:val="24"/>
          <w:szCs w:val="24"/>
        </w:rPr>
        <w:t xml:space="preserve"> 2) </w:t>
      </w:r>
      <w:r w:rsidRPr="00A15598">
        <w:rPr>
          <w:rFonts w:cstheme="minorHAnsi"/>
          <w:b/>
          <w:sz w:val="24"/>
          <w:szCs w:val="24"/>
        </w:rPr>
        <w:t>ESTADOS UNIDOS DE NORTEAMÉRICA</w:t>
      </w:r>
      <w:r w:rsidRPr="00A15598">
        <w:rPr>
          <w:rFonts w:cstheme="minorHAnsi"/>
          <w:sz w:val="24"/>
          <w:szCs w:val="24"/>
        </w:rPr>
        <w:t xml:space="preserve"> </w:t>
      </w:r>
    </w:p>
    <w:p w14:paraId="1EB09CDD" w14:textId="21212DD0" w:rsidR="00344381" w:rsidRPr="00A15598" w:rsidRDefault="00A652FF" w:rsidP="00344381">
      <w:pPr>
        <w:ind w:left="708"/>
        <w:jc w:val="both"/>
        <w:rPr>
          <w:rFonts w:cstheme="minorHAnsi"/>
          <w:sz w:val="24"/>
          <w:szCs w:val="24"/>
        </w:rPr>
      </w:pPr>
      <w:r w:rsidRPr="00A15598">
        <w:rPr>
          <w:rFonts w:cstheme="minorHAnsi"/>
          <w:noProof/>
          <w:sz w:val="24"/>
          <w:szCs w:val="24"/>
        </w:rPr>
        <mc:AlternateContent>
          <mc:Choice Requires="wpi">
            <w:drawing>
              <wp:anchor distT="0" distB="0" distL="114300" distR="114300" simplePos="0" relativeHeight="251659264" behindDoc="0" locked="0" layoutInCell="1" allowOverlap="1" wp14:anchorId="10E73F3C" wp14:editId="6735D849">
                <wp:simplePos x="0" y="0"/>
                <wp:positionH relativeFrom="column">
                  <wp:posOffset>-3579315</wp:posOffset>
                </wp:positionH>
                <wp:positionV relativeFrom="paragraph">
                  <wp:posOffset>696475</wp:posOffset>
                </wp:positionV>
                <wp:extent cx="360" cy="360"/>
                <wp:effectExtent l="38100" t="38100" r="57150" b="57150"/>
                <wp:wrapNone/>
                <wp:docPr id="1169088485" name="Entrada de lápiz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oel="http://schemas.microsoft.com/office/2019/extlst">
            <w:pict>
              <v:shapetype w14:anchorId="5DED82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282.55pt;margin-top:54.1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7bgb7oBAABdBAAAEAAAAGRycy9pbmsvaW5rMS54bWy0k01r&#10;4zAQhu8L+x+E9hxbdj7X1OmpgcIuLNsW2qNrT2NRSwqSHCf/fseyorg07akLxkgjzauZR6+urg+i&#10;IXvQhiuZ0yRilIAsVcXlNqcP95vJihJjC1kVjZKQ0yMYer3+/u2Ky1fRZPgnqCBNPxJNTmtrd1kc&#10;d10XddNI6W2cMjaNb+Xr71907bMqeOGSWzzSnEKlkhYOthfLeJXT0h5Y2I/ad6rVJYTlPqLL8w6r&#10;ixI2SovCBsW6kBIaIguBdT9SYo87HHA8ZwuaEsGx4UkaJbPlbHXzEwPFIaejeYslGqxE0Piy5tN/&#10;0Ny81+zLmqbLxZISX1IF+76m2DHPPu79j1Y70JbDGfMAxS8cSTnMHZ8BlAajmra/G0r2RdMisoQx&#10;tIU/O4kvAHmvh2y+VA+5fKg3Lu4tGt/emIOHFix1ulrLBaDRxS54zBoU7sN3VrvnkLJ0NmH9d58s&#10;snSRJSyas9XoKryLT5rPujV10HvWZ7+6lUBt6Kzjla0DdBaxeYA+Rn4ptQa+re1nub5tlxycc+Ed&#10;OjMR38dfeMnpD/cUicscAq4RRhhJZ/Pl/I0NgzTyXf8DAAD//wMAUEsDBBQABgAIAAAAIQAWjxK7&#10;5AAAAA0BAAAPAAAAZHJzL2Rvd25yZXYueG1sTI/NTsMwEITvSLyDtUjcWieBlirEqRARBVUgQfiR&#10;uLnxNomI11HsNuHtWU5w3JlPszPZerKdOOLgW0cK4nkEAqlypqVawdvr3WwFwgdNRneOUME3eljn&#10;pyeZTo0b6QWPZagFh5BPtYImhD6V0lcNWu3nrkdib+8GqwOfQy3NoEcOt51MomgprW6JPzS6x9sG&#10;q6/yYBVsHj8f/NX9U9ltLsftvngvPvxzodT52XRzDSLgFP5g+K3P1SHnTjt3IONFp2C2WC5iZtmJ&#10;VhcgGGEpSUDsWIrjBGSeyf8r8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e7bgb7oBAABdBAAAEAAAAAAAAAAAAAAAAADQAwAAZHJzL2luay9pbmsx&#10;LnhtbFBLAQItABQABgAIAAAAIQAWjxK75AAAAA0BAAAPAAAAAAAAAAAAAAAAALgFAABkcnMvZG93&#10;bnJldi54bWxQSwECLQAUAAYACAAAACEAeRi8nb8AAAAhAQAAGQAAAAAAAAAAAAAAAADJBgAAZHJz&#10;L19yZWxzL2Uyb0RvYy54bWwucmVsc1BLBQYAAAAABgAGAHgBAAC/BwAAAAA=&#10;">
                <v:imagedata r:id="rId9" o:title=""/>
              </v:shape>
            </w:pict>
          </mc:Fallback>
        </mc:AlternateContent>
      </w:r>
      <w:r w:rsidR="00344381" w:rsidRPr="00A15598">
        <w:rPr>
          <w:rFonts w:cstheme="minorHAnsi"/>
          <w:sz w:val="24"/>
          <w:szCs w:val="24"/>
        </w:rPr>
        <w:t xml:space="preserve">a) Evolución legislativa del sistema de registro de los ofensores sexuales. Desde 1947, California cuenta con una ley de registro para ofensores sexuales condenados, para ser aplicada en todo el estado. Sin embargo, entre ese año y 1989, sólo doce estados habían adoptado leyes de registro. </w:t>
      </w:r>
    </w:p>
    <w:p w14:paraId="787E9523" w14:textId="77777777" w:rsidR="00344381" w:rsidRPr="00A15598" w:rsidRDefault="00344381" w:rsidP="002B60D6">
      <w:pPr>
        <w:ind w:left="708"/>
        <w:jc w:val="both"/>
        <w:rPr>
          <w:rFonts w:cstheme="minorHAnsi"/>
          <w:sz w:val="24"/>
          <w:szCs w:val="24"/>
        </w:rPr>
      </w:pPr>
      <w:r w:rsidRPr="00A15598">
        <w:rPr>
          <w:rFonts w:cstheme="minorHAnsi"/>
          <w:sz w:val="24"/>
          <w:szCs w:val="24"/>
        </w:rPr>
        <w:t>A partir de 1990 la política pública cambia radicalmente, así el estado de Washington promulgó la primera ley de registro y notificación a la comunidad (</w:t>
      </w:r>
      <w:proofErr w:type="spellStart"/>
      <w:r w:rsidRPr="00A15598">
        <w:rPr>
          <w:rFonts w:cstheme="minorHAnsi"/>
          <w:sz w:val="24"/>
          <w:szCs w:val="24"/>
        </w:rPr>
        <w:t>Community</w:t>
      </w:r>
      <w:proofErr w:type="spellEnd"/>
      <w:r w:rsidRPr="00A15598">
        <w:rPr>
          <w:rFonts w:cstheme="minorHAnsi"/>
          <w:sz w:val="24"/>
          <w:szCs w:val="24"/>
        </w:rPr>
        <w:t xml:space="preserve"> </w:t>
      </w:r>
      <w:proofErr w:type="spellStart"/>
      <w:r w:rsidRPr="00A15598">
        <w:rPr>
          <w:rFonts w:cstheme="minorHAnsi"/>
          <w:sz w:val="24"/>
          <w:szCs w:val="24"/>
        </w:rPr>
        <w:t>Protection</w:t>
      </w:r>
      <w:proofErr w:type="spellEnd"/>
      <w:r w:rsidRPr="00A15598">
        <w:rPr>
          <w:rFonts w:cstheme="minorHAnsi"/>
          <w:sz w:val="24"/>
          <w:szCs w:val="24"/>
        </w:rPr>
        <w:t xml:space="preserve"> </w:t>
      </w:r>
      <w:proofErr w:type="spellStart"/>
      <w:r w:rsidRPr="00A15598">
        <w:rPr>
          <w:rFonts w:cstheme="minorHAnsi"/>
          <w:sz w:val="24"/>
          <w:szCs w:val="24"/>
        </w:rPr>
        <w:t>Act</w:t>
      </w:r>
      <w:proofErr w:type="spellEnd"/>
      <w:r w:rsidRPr="00A15598">
        <w:rPr>
          <w:rFonts w:cstheme="minorHAnsi"/>
          <w:sz w:val="24"/>
          <w:szCs w:val="24"/>
        </w:rPr>
        <w:t xml:space="preserve"> </w:t>
      </w:r>
      <w:proofErr w:type="spellStart"/>
      <w:r w:rsidRPr="00A15598">
        <w:rPr>
          <w:rFonts w:cstheme="minorHAnsi"/>
          <w:sz w:val="24"/>
          <w:szCs w:val="24"/>
        </w:rPr>
        <w:t>of</w:t>
      </w:r>
      <w:proofErr w:type="spellEnd"/>
      <w:r w:rsidRPr="00A15598">
        <w:rPr>
          <w:rFonts w:cstheme="minorHAnsi"/>
          <w:sz w:val="24"/>
          <w:szCs w:val="24"/>
        </w:rPr>
        <w:t xml:space="preserve"> 1990), permitiendo la difusión de la información identificadora de los registrados a las comuni</w:t>
      </w:r>
      <w:r w:rsidR="002B60D6" w:rsidRPr="00A15598">
        <w:rPr>
          <w:rFonts w:cstheme="minorHAnsi"/>
          <w:sz w:val="24"/>
          <w:szCs w:val="24"/>
        </w:rPr>
        <w:t xml:space="preserve">dades en las que estos viven.  </w:t>
      </w:r>
    </w:p>
    <w:p w14:paraId="2B2C4B2A" w14:textId="77777777" w:rsidR="00344381" w:rsidRPr="00A15598" w:rsidRDefault="00344381" w:rsidP="00344381">
      <w:pPr>
        <w:shd w:val="clear" w:color="auto" w:fill="FFFFFF"/>
        <w:spacing w:after="0" w:line="240" w:lineRule="auto"/>
        <w:ind w:left="1080"/>
        <w:jc w:val="both"/>
        <w:textAlignment w:val="baseline"/>
        <w:rPr>
          <w:rFonts w:eastAsia="Times New Roman" w:cstheme="minorHAnsi"/>
          <w:b/>
          <w:bCs/>
          <w:sz w:val="24"/>
          <w:szCs w:val="24"/>
        </w:rPr>
      </w:pPr>
    </w:p>
    <w:p w14:paraId="5D4C5004" w14:textId="77777777" w:rsidR="002B60D6" w:rsidRPr="00A15598" w:rsidRDefault="002B60D6" w:rsidP="00142B6B">
      <w:pPr>
        <w:pStyle w:val="Prrafodelista"/>
        <w:numPr>
          <w:ilvl w:val="0"/>
          <w:numId w:val="1"/>
        </w:numPr>
        <w:shd w:val="clear" w:color="auto" w:fill="FFFFFF"/>
        <w:spacing w:after="0" w:line="240" w:lineRule="auto"/>
        <w:jc w:val="both"/>
        <w:textAlignment w:val="baseline"/>
        <w:rPr>
          <w:rFonts w:eastAsia="Times New Roman" w:cstheme="minorHAnsi"/>
          <w:b/>
          <w:bCs/>
          <w:sz w:val="24"/>
          <w:szCs w:val="24"/>
        </w:rPr>
      </w:pPr>
      <w:r w:rsidRPr="00A15598">
        <w:rPr>
          <w:rFonts w:eastAsia="Times New Roman" w:cstheme="minorHAnsi"/>
          <w:b/>
          <w:bCs/>
          <w:sz w:val="24"/>
          <w:szCs w:val="24"/>
        </w:rPr>
        <w:t xml:space="preserve">PLIEGO DE MODIFICACIONES. </w:t>
      </w:r>
    </w:p>
    <w:p w14:paraId="53A6876A" w14:textId="77777777" w:rsidR="002B60D6" w:rsidRPr="00A15598" w:rsidRDefault="002B60D6" w:rsidP="002B60D6">
      <w:pPr>
        <w:pStyle w:val="Prrafodelista"/>
        <w:shd w:val="clear" w:color="auto" w:fill="FFFFFF"/>
        <w:spacing w:after="0" w:line="240" w:lineRule="auto"/>
        <w:ind w:left="360"/>
        <w:jc w:val="both"/>
        <w:textAlignment w:val="baseline"/>
        <w:rPr>
          <w:rFonts w:eastAsia="Times New Roman" w:cstheme="minorHAnsi"/>
          <w:b/>
          <w:bCs/>
          <w:sz w:val="24"/>
          <w:szCs w:val="24"/>
        </w:rPr>
      </w:pPr>
    </w:p>
    <w:tbl>
      <w:tblPr>
        <w:tblStyle w:val="Tablaconcuadrcula"/>
        <w:tblW w:w="0" w:type="auto"/>
        <w:tblInd w:w="360" w:type="dxa"/>
        <w:tblLook w:val="04A0" w:firstRow="1" w:lastRow="0" w:firstColumn="1" w:lastColumn="0" w:noHBand="0" w:noVBand="1"/>
      </w:tblPr>
      <w:tblGrid>
        <w:gridCol w:w="4170"/>
        <w:gridCol w:w="4298"/>
      </w:tblGrid>
      <w:tr w:rsidR="004A776D" w:rsidRPr="00A15598" w14:paraId="72F94DB7" w14:textId="77777777" w:rsidTr="004A776D">
        <w:tc>
          <w:tcPr>
            <w:tcW w:w="4170" w:type="dxa"/>
          </w:tcPr>
          <w:p w14:paraId="215CDEFF" w14:textId="2EA2FD5E" w:rsidR="004A776D" w:rsidRPr="00A15598" w:rsidRDefault="004A776D" w:rsidP="004A776D">
            <w:pPr>
              <w:pStyle w:val="Prrafodelista"/>
              <w:spacing w:after="0" w:line="240" w:lineRule="auto"/>
              <w:ind w:left="0"/>
              <w:jc w:val="center"/>
              <w:textAlignment w:val="baseline"/>
              <w:rPr>
                <w:rFonts w:eastAsia="Times New Roman" w:cstheme="minorHAnsi"/>
                <w:b/>
                <w:bCs/>
                <w:sz w:val="24"/>
                <w:szCs w:val="24"/>
              </w:rPr>
            </w:pPr>
            <w:r w:rsidRPr="00A15598">
              <w:rPr>
                <w:rFonts w:eastAsia="Times New Roman" w:cstheme="minorHAnsi"/>
                <w:b/>
                <w:bCs/>
                <w:sz w:val="24"/>
                <w:szCs w:val="24"/>
              </w:rPr>
              <w:t>TEXTO APROBADO EN SENADO</w:t>
            </w:r>
          </w:p>
        </w:tc>
        <w:tc>
          <w:tcPr>
            <w:tcW w:w="4298" w:type="dxa"/>
          </w:tcPr>
          <w:p w14:paraId="02E3A9E4" w14:textId="05AB17C6" w:rsidR="004A776D" w:rsidRPr="00A15598" w:rsidRDefault="004A776D" w:rsidP="004A776D">
            <w:pPr>
              <w:pStyle w:val="Prrafodelista"/>
              <w:spacing w:after="0" w:line="240" w:lineRule="auto"/>
              <w:ind w:left="0"/>
              <w:jc w:val="center"/>
              <w:textAlignment w:val="baseline"/>
              <w:rPr>
                <w:rFonts w:eastAsia="Times New Roman" w:cstheme="minorHAnsi"/>
                <w:b/>
                <w:bCs/>
                <w:sz w:val="24"/>
                <w:szCs w:val="24"/>
              </w:rPr>
            </w:pPr>
            <w:r w:rsidRPr="00A15598">
              <w:rPr>
                <w:rFonts w:eastAsia="Times New Roman" w:cstheme="minorHAnsi"/>
                <w:b/>
                <w:bCs/>
                <w:sz w:val="24"/>
                <w:szCs w:val="24"/>
              </w:rPr>
              <w:t>TEXTO PROPUESTO EN PRIMER DEBATE</w:t>
            </w:r>
          </w:p>
        </w:tc>
      </w:tr>
      <w:tr w:rsidR="004A776D" w:rsidRPr="00A15598" w14:paraId="40CC809B" w14:textId="77777777" w:rsidTr="004A776D">
        <w:tc>
          <w:tcPr>
            <w:tcW w:w="4170" w:type="dxa"/>
          </w:tcPr>
          <w:p w14:paraId="2BA39BF2" w14:textId="77777777" w:rsidR="004A776D" w:rsidRPr="00A15598" w:rsidRDefault="004A776D" w:rsidP="004A776D">
            <w:pPr>
              <w:jc w:val="both"/>
              <w:rPr>
                <w:sz w:val="24"/>
                <w:szCs w:val="24"/>
              </w:rPr>
            </w:pPr>
            <w:r w:rsidRPr="00A15598">
              <w:rPr>
                <w:b/>
                <w:sz w:val="24"/>
                <w:szCs w:val="24"/>
              </w:rPr>
              <w:t>ARTÍCULO 1º. OBJETO.</w:t>
            </w:r>
            <w:r w:rsidRPr="00A15598">
              <w:rPr>
                <w:sz w:val="24"/>
                <w:szCs w:val="24"/>
              </w:rPr>
              <w:t xml:space="preserve"> El objeto de la presente ley es establecer los cargos, oficios o profesiones susceptibles de aplicación de la inhabilidad por delitos sexuales contra menores en los términos de la Ley 1918 de 2019 y el límite de la aplicación de la inhabilidad. </w:t>
            </w:r>
          </w:p>
          <w:p w14:paraId="61276708" w14:textId="77777777" w:rsidR="004A776D" w:rsidRPr="00A15598" w:rsidRDefault="004A776D" w:rsidP="002B60D6">
            <w:pPr>
              <w:pStyle w:val="Prrafodelista"/>
              <w:spacing w:after="0" w:line="240" w:lineRule="auto"/>
              <w:ind w:left="0"/>
              <w:jc w:val="both"/>
              <w:textAlignment w:val="baseline"/>
              <w:rPr>
                <w:rFonts w:eastAsia="Times New Roman" w:cstheme="minorHAnsi"/>
                <w:b/>
                <w:bCs/>
                <w:sz w:val="24"/>
                <w:szCs w:val="24"/>
                <w:lang w:val="es-CO"/>
              </w:rPr>
            </w:pPr>
          </w:p>
        </w:tc>
        <w:tc>
          <w:tcPr>
            <w:tcW w:w="4298" w:type="dxa"/>
          </w:tcPr>
          <w:p w14:paraId="5C52CCF0" w14:textId="77777777" w:rsidR="004A776D" w:rsidRPr="00A15598" w:rsidRDefault="004A776D" w:rsidP="004A776D">
            <w:pPr>
              <w:jc w:val="both"/>
              <w:rPr>
                <w:rFonts w:cstheme="minorHAnsi"/>
                <w:sz w:val="24"/>
                <w:szCs w:val="24"/>
              </w:rPr>
            </w:pPr>
            <w:r w:rsidRPr="00A15598">
              <w:rPr>
                <w:rFonts w:cstheme="minorHAnsi"/>
                <w:b/>
                <w:sz w:val="24"/>
                <w:szCs w:val="24"/>
              </w:rPr>
              <w:t>ARTÍCULO 1º. OBJETO.</w:t>
            </w:r>
            <w:r w:rsidRPr="00A15598">
              <w:rPr>
                <w:rFonts w:cstheme="minorHAnsi"/>
                <w:sz w:val="24"/>
                <w:szCs w:val="24"/>
              </w:rPr>
              <w:t xml:space="preserve"> Sin modificación.</w:t>
            </w:r>
          </w:p>
          <w:p w14:paraId="3FA890EC" w14:textId="77777777" w:rsidR="004A776D" w:rsidRPr="00A15598" w:rsidRDefault="004A776D" w:rsidP="002B60D6">
            <w:pPr>
              <w:pStyle w:val="Prrafodelista"/>
              <w:spacing w:after="0" w:line="240" w:lineRule="auto"/>
              <w:ind w:left="0"/>
              <w:jc w:val="both"/>
              <w:textAlignment w:val="baseline"/>
              <w:rPr>
                <w:rFonts w:eastAsia="Times New Roman" w:cstheme="minorHAnsi"/>
                <w:b/>
                <w:bCs/>
                <w:sz w:val="24"/>
                <w:szCs w:val="24"/>
                <w:lang w:val="es-CO"/>
              </w:rPr>
            </w:pPr>
          </w:p>
        </w:tc>
      </w:tr>
      <w:tr w:rsidR="004A776D" w:rsidRPr="00A15598" w14:paraId="5386969D" w14:textId="77777777" w:rsidTr="004A776D">
        <w:tc>
          <w:tcPr>
            <w:tcW w:w="4170" w:type="dxa"/>
          </w:tcPr>
          <w:p w14:paraId="6E9C7CD8" w14:textId="77777777" w:rsidR="004A776D" w:rsidRPr="00A15598" w:rsidRDefault="004A776D" w:rsidP="004A776D">
            <w:pPr>
              <w:jc w:val="both"/>
              <w:rPr>
                <w:rFonts w:cstheme="minorHAnsi"/>
                <w:sz w:val="24"/>
                <w:szCs w:val="24"/>
              </w:rPr>
            </w:pPr>
            <w:r w:rsidRPr="00A15598">
              <w:rPr>
                <w:rFonts w:cstheme="minorHAnsi"/>
                <w:b/>
                <w:sz w:val="24"/>
                <w:szCs w:val="24"/>
              </w:rPr>
              <w:t>ARTÍCULO 2º.</w:t>
            </w:r>
            <w:r w:rsidRPr="00A15598">
              <w:rPr>
                <w:rFonts w:cstheme="minorHAnsi"/>
                <w:sz w:val="24"/>
                <w:szCs w:val="24"/>
              </w:rPr>
              <w:t xml:space="preserve"> Adiciónense dos incisos al artículo 219-C de la Ley 599 de 2000, el cual quedará así: </w:t>
            </w:r>
          </w:p>
          <w:p w14:paraId="543FEB2A" w14:textId="77777777" w:rsidR="004A776D" w:rsidRPr="00A15598" w:rsidRDefault="004A776D" w:rsidP="004A776D">
            <w:pPr>
              <w:jc w:val="both"/>
              <w:rPr>
                <w:rFonts w:cstheme="minorHAnsi"/>
                <w:sz w:val="24"/>
                <w:szCs w:val="24"/>
              </w:rPr>
            </w:pPr>
            <w:r w:rsidRPr="00A15598">
              <w:rPr>
                <w:rFonts w:cstheme="minorHAnsi"/>
                <w:b/>
                <w:sz w:val="24"/>
                <w:szCs w:val="24"/>
              </w:rPr>
              <w:t>Inhabilidades por delitos sexuales cometidos contra menores:</w:t>
            </w:r>
            <w:r w:rsidRPr="00A15598">
              <w:rPr>
                <w:rFonts w:cstheme="minorHAnsi"/>
                <w:sz w:val="24"/>
                <w:szCs w:val="24"/>
              </w:rPr>
              <w:t xml:space="preserve"> Las personas que hayan sido condenadas por la comisión de delitos contra la libertad, integridad y formación sexual de persona menor de 18 años de acuerdo con el Título IV de la presente ley; serán inhabilitadas para el desempeño de cargos, oficios o </w:t>
            </w:r>
            <w:r w:rsidRPr="00A15598">
              <w:rPr>
                <w:rFonts w:cstheme="minorHAnsi"/>
                <w:sz w:val="24"/>
                <w:szCs w:val="24"/>
              </w:rPr>
              <w:lastRenderedPageBreak/>
              <w:t xml:space="preserve">profesiones que involucren una relación directa y habitual con menores de edad. </w:t>
            </w:r>
          </w:p>
          <w:p w14:paraId="332D9149" w14:textId="77777777" w:rsidR="004A776D" w:rsidRPr="00A15598" w:rsidRDefault="004A776D" w:rsidP="004A776D">
            <w:pPr>
              <w:jc w:val="both"/>
              <w:rPr>
                <w:rFonts w:cstheme="minorHAnsi"/>
                <w:sz w:val="24"/>
                <w:szCs w:val="24"/>
              </w:rPr>
            </w:pPr>
            <w:r w:rsidRPr="00A15598">
              <w:rPr>
                <w:rFonts w:cstheme="minorHAnsi"/>
                <w:sz w:val="24"/>
                <w:szCs w:val="24"/>
              </w:rPr>
              <w:t xml:space="preserve">El juez fijará la duración de la inhabilidad en el fallo condenatorio sujetándose a los límites temporales establecidos en el inciso primero del artículo 51 de la presente ley, la cual empezará a contarse una vez se cumpla la pena principal. </w:t>
            </w:r>
          </w:p>
          <w:p w14:paraId="006E901B" w14:textId="73B52A94" w:rsidR="004A776D" w:rsidRPr="00A15598" w:rsidRDefault="004A776D" w:rsidP="004A776D">
            <w:pPr>
              <w:jc w:val="both"/>
              <w:rPr>
                <w:rFonts w:cstheme="minorHAnsi"/>
                <w:sz w:val="24"/>
                <w:szCs w:val="24"/>
              </w:rPr>
            </w:pPr>
            <w:r w:rsidRPr="00A15598">
              <w:rPr>
                <w:rFonts w:cstheme="minorHAnsi"/>
                <w:sz w:val="24"/>
                <w:szCs w:val="24"/>
              </w:rPr>
              <w:t>El juez determinará la relación directa y habitual con menores de edad del condenado para imponer la inhabilidad para ejercer cargos, oficios o profesiones por delitos sexuales contra menores.</w:t>
            </w:r>
          </w:p>
        </w:tc>
        <w:tc>
          <w:tcPr>
            <w:tcW w:w="4298" w:type="dxa"/>
          </w:tcPr>
          <w:p w14:paraId="2C9B0E76" w14:textId="53B1C090" w:rsidR="004A776D" w:rsidRPr="00A15598" w:rsidRDefault="004A776D" w:rsidP="002B60D6">
            <w:pPr>
              <w:pStyle w:val="Prrafodelista"/>
              <w:spacing w:after="0" w:line="240" w:lineRule="auto"/>
              <w:ind w:left="0"/>
              <w:jc w:val="both"/>
              <w:textAlignment w:val="baseline"/>
              <w:rPr>
                <w:rFonts w:eastAsia="Times New Roman" w:cstheme="minorHAnsi"/>
                <w:b/>
                <w:bCs/>
                <w:sz w:val="24"/>
                <w:szCs w:val="24"/>
              </w:rPr>
            </w:pPr>
            <w:r w:rsidRPr="00A15598">
              <w:rPr>
                <w:rFonts w:cstheme="minorHAnsi"/>
                <w:b/>
                <w:sz w:val="24"/>
                <w:szCs w:val="24"/>
              </w:rPr>
              <w:lastRenderedPageBreak/>
              <w:t xml:space="preserve">ARTÍCULO 2º. </w:t>
            </w:r>
            <w:r w:rsidRPr="00A15598">
              <w:rPr>
                <w:rFonts w:cstheme="minorHAnsi"/>
                <w:bCs/>
                <w:sz w:val="24"/>
                <w:szCs w:val="24"/>
              </w:rPr>
              <w:t>Sin Modificación.</w:t>
            </w:r>
            <w:r w:rsidRPr="00A15598">
              <w:rPr>
                <w:rFonts w:cstheme="minorHAnsi"/>
                <w:sz w:val="24"/>
                <w:szCs w:val="24"/>
              </w:rPr>
              <w:br/>
            </w:r>
          </w:p>
        </w:tc>
      </w:tr>
      <w:tr w:rsidR="004A776D" w:rsidRPr="00A15598" w14:paraId="29FFF585" w14:textId="77777777" w:rsidTr="004A776D">
        <w:tc>
          <w:tcPr>
            <w:tcW w:w="4170" w:type="dxa"/>
          </w:tcPr>
          <w:p w14:paraId="0DC98E35" w14:textId="77777777" w:rsidR="004A776D" w:rsidRPr="00A15598" w:rsidRDefault="004A776D" w:rsidP="004A776D">
            <w:pPr>
              <w:jc w:val="both"/>
              <w:rPr>
                <w:sz w:val="24"/>
                <w:szCs w:val="24"/>
              </w:rPr>
            </w:pPr>
            <w:r w:rsidRPr="00A15598">
              <w:rPr>
                <w:b/>
                <w:sz w:val="24"/>
                <w:szCs w:val="24"/>
              </w:rPr>
              <w:t>ARTÍCULO 3º.</w:t>
            </w:r>
            <w:r w:rsidRPr="00A15598">
              <w:rPr>
                <w:sz w:val="24"/>
                <w:szCs w:val="24"/>
              </w:rPr>
              <w:t xml:space="preserve"> Adiciónese el artículo 2° a la Ley 1918 de 2018, el cual quedará así: </w:t>
            </w:r>
          </w:p>
          <w:p w14:paraId="4231513A" w14:textId="77777777" w:rsidR="004A776D" w:rsidRPr="00A15598" w:rsidRDefault="004A776D" w:rsidP="004A776D">
            <w:pPr>
              <w:pStyle w:val="Prrafodelista"/>
              <w:spacing w:after="0" w:line="240" w:lineRule="auto"/>
              <w:ind w:left="0"/>
              <w:jc w:val="both"/>
              <w:textAlignment w:val="baseline"/>
              <w:rPr>
                <w:sz w:val="24"/>
                <w:szCs w:val="24"/>
              </w:rPr>
            </w:pPr>
            <w:r w:rsidRPr="00A15598">
              <w:rPr>
                <w:b/>
                <w:sz w:val="24"/>
                <w:szCs w:val="24"/>
              </w:rPr>
              <w:t>ARTÍCULO 2. CARGOS, OFICIOS O PROFESIONES, SUSCEPTIBLES DE APLICACIÓN DE LA INHABILIDAD POR DELITOS SEXUALES CONTRA MENORES</w:t>
            </w:r>
            <w:r w:rsidRPr="00A15598">
              <w:rPr>
                <w:sz w:val="24"/>
                <w:szCs w:val="24"/>
              </w:rPr>
              <w:t>. Son susceptibles de aplicación de la inhabilidad especial por delitos contra la libertad, integridad y formación sexual cometido contra persona menor de 18 años, los cargos, oficios o profesiones desarrollados en os ámbitos: educativo, recreativo de cuidado, protección, asistencia, salud, nutrición, bienestar, cultural, artístico, deportivo, religioso, seguridad; que impliquen un trato directo, habitual o circunstancial con menores de edad.</w:t>
            </w:r>
          </w:p>
          <w:p w14:paraId="490CC431" w14:textId="77777777" w:rsidR="004A776D" w:rsidRPr="00A15598" w:rsidRDefault="004A776D" w:rsidP="004A776D">
            <w:pPr>
              <w:ind w:left="708"/>
              <w:jc w:val="both"/>
              <w:rPr>
                <w:sz w:val="24"/>
                <w:szCs w:val="24"/>
              </w:rPr>
            </w:pPr>
            <w:r w:rsidRPr="00A15598">
              <w:rPr>
                <w:sz w:val="24"/>
                <w:szCs w:val="24"/>
              </w:rPr>
              <w:t xml:space="preserve">Para los efectos de la presente ley se entenderá por trato directo, el contacto o la interacción personal o a través de cualquier medio tecnológico, que se genere en el ejercicio del cargo, </w:t>
            </w:r>
            <w:r w:rsidRPr="00A15598">
              <w:rPr>
                <w:sz w:val="24"/>
                <w:szCs w:val="24"/>
              </w:rPr>
              <w:lastRenderedPageBreak/>
              <w:t xml:space="preserve">profesión u oficio, de forma frecuente con menores de edad. </w:t>
            </w:r>
          </w:p>
          <w:p w14:paraId="09CF5BD4" w14:textId="77777777" w:rsidR="004A776D" w:rsidRPr="00A15598" w:rsidRDefault="004A776D" w:rsidP="004A776D">
            <w:pPr>
              <w:ind w:left="708"/>
              <w:jc w:val="both"/>
              <w:rPr>
                <w:sz w:val="24"/>
                <w:szCs w:val="24"/>
              </w:rPr>
            </w:pPr>
            <w:r w:rsidRPr="00A15598">
              <w:rPr>
                <w:sz w:val="24"/>
                <w:szCs w:val="24"/>
              </w:rPr>
              <w:t xml:space="preserve">Son susceptibles de aplicación de la inhabilidad especial los siguientes cargos, oficios o profesiones: </w:t>
            </w:r>
          </w:p>
          <w:p w14:paraId="73028730"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Docentes, Directivos docentes, coordinadores, orientadores, personal administrativo y demás vinculado a instituciones de educación formal en los distintos niveles educativos. (Inicial, preescolar, básica, media y educación superior). </w:t>
            </w:r>
          </w:p>
          <w:p w14:paraId="43093EF6"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Formadores, instructores, y personal vinculado a educación para el trabajo y el desarrollo humano o su equivalente. </w:t>
            </w:r>
          </w:p>
          <w:p w14:paraId="54C14D64"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Personal de atención directa que su público objetivo sea menor de edad, en servicios culturales, de recreación y deporte, entre otros (Ludotecas, bibliotecas, parques, clubes deportivos o centros de diversiones). </w:t>
            </w:r>
          </w:p>
          <w:p w14:paraId="16C2CFFF"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Personal de servicio de transporte escolar. </w:t>
            </w:r>
          </w:p>
          <w:p w14:paraId="4AB214DF"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Personal de atención directa en servicios de hotelería y turismo que su público objetivo sea menor de edad. </w:t>
            </w:r>
          </w:p>
          <w:p w14:paraId="54D45650" w14:textId="3DB64209" w:rsidR="004A776D" w:rsidRPr="00A15598" w:rsidRDefault="004A776D" w:rsidP="004A776D">
            <w:pPr>
              <w:pStyle w:val="Prrafodelista"/>
              <w:numPr>
                <w:ilvl w:val="0"/>
                <w:numId w:val="18"/>
              </w:numPr>
              <w:jc w:val="both"/>
              <w:rPr>
                <w:b/>
                <w:sz w:val="24"/>
                <w:szCs w:val="24"/>
              </w:rPr>
            </w:pPr>
            <w:r w:rsidRPr="00A15598">
              <w:rPr>
                <w:sz w:val="24"/>
                <w:szCs w:val="24"/>
              </w:rPr>
              <w:t xml:space="preserve">Agentes educativos institucionales y comunitarios de modalidades y estrategias enmarcadas en el servicio público de bienestar familiar que su público objetivo sea menor de </w:t>
            </w:r>
            <w:r w:rsidRPr="00A15598">
              <w:rPr>
                <w:sz w:val="24"/>
                <w:szCs w:val="24"/>
              </w:rPr>
              <w:lastRenderedPageBreak/>
              <w:t xml:space="preserve">edad, bien sea en prevención o protección, (Hogares de Paso y servicios de Albergue y Cuidado). </w:t>
            </w:r>
          </w:p>
          <w:p w14:paraId="71002D67"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Personal médico, de psicología, enfermería, odontología y demás personal de salud, de atención directa que su público objetivo sea menor de edad. </w:t>
            </w:r>
          </w:p>
          <w:p w14:paraId="2EDAA94D"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Personal de servicios de limpieza en entornos familiares, educativos, recreativos, deportivos, o de contacto directo que su público objetivo sea menor de edad </w:t>
            </w:r>
          </w:p>
          <w:p w14:paraId="159DC392"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Sacerdotes, pastores, catequistas y guías espirituales. </w:t>
            </w:r>
          </w:p>
          <w:p w14:paraId="60646E49" w14:textId="77777777" w:rsidR="004A776D" w:rsidRPr="00A15598" w:rsidRDefault="004A776D" w:rsidP="004A776D">
            <w:pPr>
              <w:pStyle w:val="Prrafodelista"/>
              <w:numPr>
                <w:ilvl w:val="0"/>
                <w:numId w:val="18"/>
              </w:numPr>
              <w:jc w:val="both"/>
              <w:rPr>
                <w:b/>
                <w:sz w:val="24"/>
                <w:szCs w:val="24"/>
              </w:rPr>
            </w:pPr>
            <w:r w:rsidRPr="00A15598">
              <w:rPr>
                <w:sz w:val="24"/>
                <w:szCs w:val="24"/>
              </w:rPr>
              <w:t>Personal de atención directa en ventas y comercio, que su público sea a la población infantil.</w:t>
            </w:r>
          </w:p>
          <w:p w14:paraId="07E7D3D8"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Personal de servicios de cuidados a población infantil, en el ámbito institucional o a domicilio. (Auxiliares de enfermería, acompañantes o cuidadores especializados en la atención de menores de edad). </w:t>
            </w:r>
          </w:p>
          <w:p w14:paraId="63B6B978"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Agentes de protección y seguridad. (personal vinculado a empresas de seguridad privada, servicios de logística y seguridad en eventos públicos, otros). </w:t>
            </w:r>
          </w:p>
          <w:p w14:paraId="73F60CAE"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Personal civil vinculado a cuerpos de salvamento y defensa de la población (Defensa Civil, Bomberos, otros) </w:t>
            </w:r>
          </w:p>
          <w:p w14:paraId="4151521E"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Instructores, formadores, orientadores de los centros de desarrollo y bienestar de </w:t>
            </w:r>
            <w:r w:rsidRPr="00A15598">
              <w:rPr>
                <w:sz w:val="24"/>
                <w:szCs w:val="24"/>
              </w:rPr>
              <w:lastRenderedPageBreak/>
              <w:t xml:space="preserve">estimulación temprana o primera infancia. </w:t>
            </w:r>
          </w:p>
          <w:p w14:paraId="67C819BE"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Representantes legales y miembros de juntas directivas de entidades públicas y privadas que prestan servicios para la atención de los niños, las niñas y adolescentes. </w:t>
            </w:r>
          </w:p>
          <w:p w14:paraId="2E92F585"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Cualquier cargo, oficio o profesión que demuestre un trato directo y habitual con menores de edad. </w:t>
            </w:r>
          </w:p>
          <w:p w14:paraId="56E1AE8E" w14:textId="77777777" w:rsidR="004A776D" w:rsidRPr="00A15598" w:rsidRDefault="004A776D" w:rsidP="004A776D">
            <w:pPr>
              <w:pStyle w:val="Prrafodelista"/>
              <w:numPr>
                <w:ilvl w:val="0"/>
                <w:numId w:val="18"/>
              </w:numPr>
              <w:jc w:val="both"/>
              <w:rPr>
                <w:b/>
                <w:sz w:val="24"/>
                <w:szCs w:val="24"/>
              </w:rPr>
            </w:pPr>
            <w:r w:rsidRPr="00A15598">
              <w:rPr>
                <w:sz w:val="24"/>
                <w:szCs w:val="24"/>
              </w:rPr>
              <w:t xml:space="preserve">Personas o entidades que sostengan contratos temporales con instituciones en los ámbitos educativo, recreativo, de cuidado, protección, asistencia, salud, nutrición, bienestar, cultural, artístico, deportivo, religioso, o de seguridad. Este grupo estará sujeto a la inhabilidad especial cuando su labor implique la realización de reparaciones, obras de construcción, mantenimiento, o cualquier otra actividad que brinde un acceso directo o potencial a menores de edad dentro de las instalaciones de la respectiva institución. </w:t>
            </w:r>
          </w:p>
          <w:p w14:paraId="2AF2631E" w14:textId="77777777" w:rsidR="004A776D" w:rsidRPr="00A15598" w:rsidRDefault="004A776D" w:rsidP="004A776D">
            <w:pPr>
              <w:pStyle w:val="Prrafodelista"/>
              <w:ind w:left="0"/>
              <w:jc w:val="both"/>
              <w:rPr>
                <w:sz w:val="24"/>
                <w:szCs w:val="24"/>
              </w:rPr>
            </w:pPr>
            <w:r w:rsidRPr="00A15598">
              <w:rPr>
                <w:b/>
                <w:sz w:val="24"/>
                <w:szCs w:val="24"/>
              </w:rPr>
              <w:t>Parágrafo.</w:t>
            </w:r>
            <w:r w:rsidRPr="00A15598">
              <w:rPr>
                <w:sz w:val="24"/>
                <w:szCs w:val="24"/>
              </w:rPr>
              <w:t xml:space="preserve"> Los cargos, oficios o profesiones enunciados, pueden ser ejecutados en el marco de una relación de carácter remunerado o no remunerado; en causa o actividad que desarrolla una entidad pública o privada.</w:t>
            </w:r>
          </w:p>
          <w:p w14:paraId="6D4CF0E4" w14:textId="02908DDB" w:rsidR="004A776D" w:rsidRPr="00A15598" w:rsidRDefault="004A776D" w:rsidP="004A776D">
            <w:pPr>
              <w:pStyle w:val="Prrafodelista"/>
              <w:spacing w:after="0" w:line="240" w:lineRule="auto"/>
              <w:ind w:left="0"/>
              <w:jc w:val="both"/>
              <w:textAlignment w:val="baseline"/>
              <w:rPr>
                <w:rFonts w:eastAsia="Times New Roman" w:cstheme="minorHAnsi"/>
                <w:b/>
                <w:bCs/>
                <w:sz w:val="24"/>
                <w:szCs w:val="24"/>
              </w:rPr>
            </w:pPr>
          </w:p>
        </w:tc>
        <w:tc>
          <w:tcPr>
            <w:tcW w:w="4298" w:type="dxa"/>
          </w:tcPr>
          <w:p w14:paraId="6F7A263B" w14:textId="77777777" w:rsidR="004A776D" w:rsidRPr="00A15598" w:rsidRDefault="004A776D" w:rsidP="004A776D">
            <w:pPr>
              <w:jc w:val="both"/>
              <w:rPr>
                <w:sz w:val="24"/>
                <w:szCs w:val="24"/>
              </w:rPr>
            </w:pPr>
            <w:r w:rsidRPr="00A15598">
              <w:rPr>
                <w:b/>
                <w:sz w:val="24"/>
                <w:szCs w:val="24"/>
              </w:rPr>
              <w:lastRenderedPageBreak/>
              <w:t>ARTÍCULO 3º.</w:t>
            </w:r>
            <w:r w:rsidRPr="00A15598">
              <w:rPr>
                <w:sz w:val="24"/>
                <w:szCs w:val="24"/>
              </w:rPr>
              <w:t xml:space="preserve"> Sin modificación. </w:t>
            </w:r>
          </w:p>
          <w:p w14:paraId="3BC259E8" w14:textId="77777777" w:rsidR="004A776D" w:rsidRPr="00A15598" w:rsidRDefault="004A776D" w:rsidP="002B60D6">
            <w:pPr>
              <w:pStyle w:val="Prrafodelista"/>
              <w:spacing w:after="0" w:line="240" w:lineRule="auto"/>
              <w:ind w:left="0"/>
              <w:jc w:val="both"/>
              <w:textAlignment w:val="baseline"/>
              <w:rPr>
                <w:rFonts w:eastAsia="Times New Roman" w:cstheme="minorHAnsi"/>
                <w:b/>
                <w:bCs/>
                <w:sz w:val="24"/>
                <w:szCs w:val="24"/>
              </w:rPr>
            </w:pPr>
          </w:p>
        </w:tc>
      </w:tr>
      <w:tr w:rsidR="004A776D" w:rsidRPr="00A15598" w14:paraId="5E3439B1" w14:textId="77777777" w:rsidTr="004A776D">
        <w:tc>
          <w:tcPr>
            <w:tcW w:w="4170" w:type="dxa"/>
          </w:tcPr>
          <w:p w14:paraId="405830B6" w14:textId="77777777" w:rsidR="004A776D" w:rsidRPr="00A15598" w:rsidRDefault="004A776D" w:rsidP="004A776D">
            <w:pPr>
              <w:jc w:val="both"/>
              <w:rPr>
                <w:sz w:val="24"/>
                <w:szCs w:val="24"/>
              </w:rPr>
            </w:pPr>
            <w:r w:rsidRPr="00A15598">
              <w:rPr>
                <w:b/>
                <w:sz w:val="24"/>
                <w:szCs w:val="24"/>
              </w:rPr>
              <w:lastRenderedPageBreak/>
              <w:t>ARTÍCULO 4°</w:t>
            </w:r>
            <w:r w:rsidRPr="00A15598">
              <w:rPr>
                <w:sz w:val="24"/>
                <w:szCs w:val="24"/>
              </w:rPr>
              <w:t xml:space="preserve"> Modifíquese el artículo 5 de la Ley 1918 de 2018, el cual quedará así: </w:t>
            </w:r>
          </w:p>
          <w:p w14:paraId="7F3AA272" w14:textId="77777777" w:rsidR="004A776D" w:rsidRPr="00A15598" w:rsidRDefault="004A776D" w:rsidP="004A776D">
            <w:pPr>
              <w:ind w:left="708"/>
              <w:jc w:val="both"/>
              <w:rPr>
                <w:sz w:val="24"/>
                <w:szCs w:val="24"/>
              </w:rPr>
            </w:pPr>
            <w:r w:rsidRPr="00A15598">
              <w:rPr>
                <w:b/>
                <w:sz w:val="24"/>
                <w:szCs w:val="24"/>
              </w:rPr>
              <w:t>ARTÍCULO 5. SANCIONES.</w:t>
            </w:r>
            <w:r w:rsidRPr="00A15598">
              <w:rPr>
                <w:sz w:val="24"/>
                <w:szCs w:val="24"/>
              </w:rPr>
              <w:t xml:space="preserve"> La omisión al deber de verificación en los términos de la presente ley o la contratación de personas inhabilitadas para el ejercicio de los cargos, oficios o profesiones mencionadas en el artículo 2 acarreará a las entidades públicas o privadas y/o personas naturales contratantes, sanción consistente en multa equivalente al valor de cincuenta (50) a quinientos (500) salarios mínimos mensuales legales vigentes. </w:t>
            </w:r>
          </w:p>
          <w:p w14:paraId="0776F7B6" w14:textId="77777777" w:rsidR="004A776D" w:rsidRPr="00A15598" w:rsidRDefault="004A776D" w:rsidP="004A776D">
            <w:pPr>
              <w:ind w:left="708"/>
              <w:jc w:val="both"/>
              <w:rPr>
                <w:sz w:val="24"/>
                <w:szCs w:val="24"/>
              </w:rPr>
            </w:pPr>
            <w:r w:rsidRPr="00A15598">
              <w:rPr>
                <w:b/>
                <w:sz w:val="24"/>
                <w:szCs w:val="24"/>
              </w:rPr>
              <w:t>Parágrafo 1.</w:t>
            </w:r>
            <w:r w:rsidRPr="00A15598">
              <w:rPr>
                <w:sz w:val="24"/>
                <w:szCs w:val="24"/>
              </w:rPr>
              <w:t xml:space="preserve"> Las sanciones a las que se refiere el inciso anterior, serán impuestas por el Instituto Colombiano de Bienestar familiar - ICBF mediante el procedimiento sancionatorio regulado por el artículo 50 de la ley 1437 de 2011. </w:t>
            </w:r>
          </w:p>
          <w:p w14:paraId="5B7AB9CB" w14:textId="34845E20" w:rsidR="004A776D" w:rsidRPr="00A15598" w:rsidRDefault="004A776D" w:rsidP="004A776D">
            <w:pPr>
              <w:ind w:left="708"/>
              <w:jc w:val="both"/>
              <w:rPr>
                <w:sz w:val="24"/>
                <w:szCs w:val="24"/>
              </w:rPr>
            </w:pPr>
            <w:r w:rsidRPr="00A15598">
              <w:rPr>
                <w:b/>
                <w:sz w:val="24"/>
                <w:szCs w:val="24"/>
              </w:rPr>
              <w:t>Parágrafo 2.</w:t>
            </w:r>
            <w:r w:rsidRPr="00A15598">
              <w:rPr>
                <w:sz w:val="24"/>
                <w:szCs w:val="24"/>
              </w:rPr>
              <w:t xml:space="preserve"> El valor de las multas causadas con ocasión de las sanciones anteriormente referidas, será recaudado por el Instituto Colombiano de Bienestar Familiar – ICBF y será destinado, en partes iguales, a la financiación del funcionamiento y promoción del registro de inhabilidades por delitos sexuales contra menores de edad, y al </w:t>
            </w:r>
            <w:r w:rsidRPr="00A15598">
              <w:rPr>
                <w:sz w:val="24"/>
                <w:szCs w:val="24"/>
              </w:rPr>
              <w:lastRenderedPageBreak/>
              <w:t xml:space="preserve">Fondo contra la Explotación Sexual de Niños, Niñas y Adolescentes, creado por el artículo 24 de la Ley 679 de 2001. </w:t>
            </w:r>
          </w:p>
        </w:tc>
        <w:tc>
          <w:tcPr>
            <w:tcW w:w="4298" w:type="dxa"/>
          </w:tcPr>
          <w:p w14:paraId="2063B277" w14:textId="77777777" w:rsidR="004A776D" w:rsidRPr="00A15598" w:rsidRDefault="004A776D" w:rsidP="004A776D">
            <w:pPr>
              <w:jc w:val="both"/>
              <w:rPr>
                <w:rFonts w:cstheme="minorHAnsi"/>
                <w:sz w:val="24"/>
                <w:szCs w:val="24"/>
              </w:rPr>
            </w:pPr>
            <w:r w:rsidRPr="00A15598">
              <w:rPr>
                <w:rFonts w:cstheme="minorHAnsi"/>
                <w:b/>
                <w:sz w:val="24"/>
                <w:szCs w:val="24"/>
              </w:rPr>
              <w:lastRenderedPageBreak/>
              <w:t>ARTÍCULO 4°</w:t>
            </w:r>
            <w:r w:rsidRPr="00A15598">
              <w:rPr>
                <w:rFonts w:cstheme="minorHAnsi"/>
                <w:sz w:val="24"/>
                <w:szCs w:val="24"/>
              </w:rPr>
              <w:t xml:space="preserve"> Modifíquese el artículo 5 de la Ley 1918 de 2018, el cual quedará así: </w:t>
            </w:r>
          </w:p>
          <w:p w14:paraId="2BC2334F" w14:textId="77777777" w:rsidR="004A776D" w:rsidRPr="00A15598" w:rsidRDefault="004A776D" w:rsidP="004A776D">
            <w:pPr>
              <w:ind w:left="708"/>
              <w:jc w:val="both"/>
              <w:rPr>
                <w:rFonts w:cstheme="minorHAnsi"/>
                <w:sz w:val="24"/>
                <w:szCs w:val="24"/>
              </w:rPr>
            </w:pPr>
            <w:r w:rsidRPr="00A15598">
              <w:rPr>
                <w:rFonts w:cstheme="minorHAnsi"/>
                <w:b/>
                <w:sz w:val="24"/>
                <w:szCs w:val="24"/>
              </w:rPr>
              <w:t>ARTÍCULO 5. SANCIONES.</w:t>
            </w:r>
            <w:r w:rsidRPr="00A15598">
              <w:rPr>
                <w:rFonts w:cstheme="minorHAnsi"/>
                <w:sz w:val="24"/>
                <w:szCs w:val="24"/>
              </w:rPr>
              <w:t xml:space="preserve"> La omisión al deber de verificación en los términos de la presente ley o la contratación de personas inhabilitadas para el ejercicio de los cargos, oficios o profesiones mencionadas en el artículo 2 acarreará a las entidades públicas o privadas y/o personas naturales contratantes, sanción consistente en multa equivalente al valor de cincuenta (50) a quinientos (500) salarios mínimos mensuales legales vigentes. </w:t>
            </w:r>
          </w:p>
          <w:p w14:paraId="54371A64" w14:textId="66A4111B" w:rsidR="004A776D" w:rsidRPr="00A15598" w:rsidRDefault="004A776D" w:rsidP="004A776D">
            <w:pPr>
              <w:ind w:left="708"/>
              <w:jc w:val="both"/>
              <w:rPr>
                <w:rFonts w:cstheme="minorHAnsi"/>
                <w:sz w:val="24"/>
                <w:szCs w:val="24"/>
              </w:rPr>
            </w:pPr>
            <w:r w:rsidRPr="00A15598">
              <w:rPr>
                <w:rFonts w:cstheme="minorHAnsi"/>
                <w:b/>
                <w:sz w:val="24"/>
                <w:szCs w:val="24"/>
              </w:rPr>
              <w:t>Parágrafo 1.</w:t>
            </w:r>
            <w:r w:rsidRPr="00A15598">
              <w:rPr>
                <w:rFonts w:cstheme="minorHAnsi"/>
                <w:sz w:val="24"/>
                <w:szCs w:val="24"/>
              </w:rPr>
              <w:t xml:space="preserve"> Las sanciones a las que se refiere el inciso anterior, serán impuestas por el Instituto Colombiano de Bienestar Familiar – </w:t>
            </w:r>
            <w:r w:rsidR="00FF174E" w:rsidRPr="00A15598">
              <w:rPr>
                <w:rFonts w:cstheme="minorHAnsi"/>
                <w:sz w:val="24"/>
                <w:szCs w:val="24"/>
              </w:rPr>
              <w:t>ICBF o</w:t>
            </w:r>
            <w:r w:rsidR="0017344F" w:rsidRPr="00A15598">
              <w:rPr>
                <w:rFonts w:cstheme="minorHAnsi"/>
                <w:sz w:val="24"/>
                <w:szCs w:val="24"/>
                <w:u w:val="single"/>
              </w:rPr>
              <w:t xml:space="preserve"> quien haga sus veces</w:t>
            </w:r>
            <w:r w:rsidR="0017344F" w:rsidRPr="00A15598">
              <w:rPr>
                <w:rFonts w:cstheme="minorHAnsi"/>
                <w:sz w:val="24"/>
                <w:szCs w:val="24"/>
              </w:rPr>
              <w:t xml:space="preserve"> </w:t>
            </w:r>
            <w:r w:rsidRPr="00A15598">
              <w:rPr>
                <w:strike/>
                <w:sz w:val="24"/>
                <w:szCs w:val="24"/>
              </w:rPr>
              <w:t>mediante el procedimiento sancionatorio regulado por el artículo 50 de la ley 1437 de 2011</w:t>
            </w:r>
            <w:r w:rsidRPr="00A15598">
              <w:rPr>
                <w:rFonts w:cstheme="minorHAnsi"/>
                <w:sz w:val="24"/>
                <w:szCs w:val="24"/>
              </w:rPr>
              <w:t xml:space="preserve">, </w:t>
            </w:r>
            <w:r w:rsidRPr="00A15598">
              <w:rPr>
                <w:rFonts w:cstheme="minorHAnsi"/>
                <w:sz w:val="24"/>
                <w:szCs w:val="24"/>
                <w:u w:val="single"/>
              </w:rPr>
              <w:t>a través del procedimiento</w:t>
            </w:r>
            <w:r w:rsidR="0017344F" w:rsidRPr="00A15598">
              <w:rPr>
                <w:rFonts w:cstheme="minorHAnsi"/>
                <w:sz w:val="24"/>
                <w:szCs w:val="24"/>
                <w:u w:val="single"/>
              </w:rPr>
              <w:t xml:space="preserve"> </w:t>
            </w:r>
            <w:r w:rsidRPr="00A15598">
              <w:rPr>
                <w:rFonts w:cstheme="minorHAnsi"/>
                <w:sz w:val="24"/>
                <w:szCs w:val="24"/>
                <w:u w:val="single"/>
              </w:rPr>
              <w:t>administrativo sancionatorio, en virtud de las competencias otorgadas mediante la Ley 1098 de 2006 y la Resolución 3899 de 2010 del ICBF.</w:t>
            </w:r>
          </w:p>
          <w:p w14:paraId="75D12AA4" w14:textId="77777777" w:rsidR="004A776D" w:rsidRPr="00A15598" w:rsidRDefault="004A776D" w:rsidP="004A776D">
            <w:pPr>
              <w:ind w:left="708"/>
              <w:jc w:val="both"/>
              <w:rPr>
                <w:rFonts w:cstheme="minorHAnsi"/>
                <w:sz w:val="24"/>
                <w:szCs w:val="24"/>
              </w:rPr>
            </w:pPr>
            <w:r w:rsidRPr="00A15598">
              <w:rPr>
                <w:rFonts w:cstheme="minorHAnsi"/>
                <w:b/>
                <w:sz w:val="24"/>
                <w:szCs w:val="24"/>
              </w:rPr>
              <w:t>Parágrafo 2.</w:t>
            </w:r>
            <w:r w:rsidRPr="00A15598">
              <w:rPr>
                <w:rFonts w:cstheme="minorHAnsi"/>
                <w:sz w:val="24"/>
                <w:szCs w:val="24"/>
              </w:rPr>
              <w:t xml:space="preserve"> El valor de las multas causadas con ocasión de las sanciones anteriormente referidas, será recaudado por el Instituto Colombiano de Bienestar Familiar – ICBF y será destinado, en </w:t>
            </w:r>
            <w:r w:rsidRPr="00A15598">
              <w:rPr>
                <w:rFonts w:cstheme="minorHAnsi"/>
                <w:sz w:val="24"/>
                <w:szCs w:val="24"/>
              </w:rPr>
              <w:lastRenderedPageBreak/>
              <w:t xml:space="preserve">partes iguales, a la financiación del funcionamiento y promoción del registro de inhabilidades por delitos sexuales contra menores de edad, y al Fondo contra la Explotación Sexual de Niños, Niñas y Adolescentes, creado por el artículo 24 de la Ley 679 de 2001. </w:t>
            </w:r>
          </w:p>
          <w:p w14:paraId="0E368FB8" w14:textId="18E71583" w:rsidR="004A776D" w:rsidRPr="00A15598" w:rsidRDefault="004A776D" w:rsidP="004A776D">
            <w:pPr>
              <w:jc w:val="both"/>
              <w:rPr>
                <w:rFonts w:cstheme="minorHAnsi"/>
                <w:sz w:val="24"/>
                <w:szCs w:val="24"/>
                <w:u w:val="single"/>
              </w:rPr>
            </w:pPr>
            <w:r w:rsidRPr="00A15598">
              <w:rPr>
                <w:rFonts w:cstheme="minorHAnsi"/>
                <w:b/>
                <w:sz w:val="24"/>
                <w:szCs w:val="24"/>
                <w:u w:val="single"/>
              </w:rPr>
              <w:t>Parágrafo Transitorio.</w:t>
            </w:r>
            <w:r w:rsidRPr="00A15598">
              <w:rPr>
                <w:rFonts w:cstheme="minorHAnsi"/>
                <w:sz w:val="24"/>
                <w:szCs w:val="24"/>
                <w:u w:val="single"/>
              </w:rPr>
              <w:t xml:space="preserve"> El Ministerio de Defensa, en virtud de la ley 1918 de 2019, tendrá un plazo máximo de seis meses a partir de la promulgación de esta ley para actualizar el registro de inhabilidades por delitos sexuales cometidos contra personas menores de edad. Fecha en la cual empezará a regir lo dispuesto en el presente artículo.</w:t>
            </w:r>
          </w:p>
        </w:tc>
      </w:tr>
      <w:tr w:rsidR="004A776D" w:rsidRPr="00A15598" w14:paraId="210DFB38" w14:textId="77777777" w:rsidTr="004A776D">
        <w:tc>
          <w:tcPr>
            <w:tcW w:w="4170" w:type="dxa"/>
          </w:tcPr>
          <w:p w14:paraId="36154693" w14:textId="77777777" w:rsidR="004A776D" w:rsidRPr="00A15598" w:rsidRDefault="004A776D" w:rsidP="004A776D">
            <w:pPr>
              <w:jc w:val="both"/>
              <w:rPr>
                <w:b/>
                <w:sz w:val="24"/>
                <w:szCs w:val="24"/>
              </w:rPr>
            </w:pPr>
            <w:r w:rsidRPr="00A15598">
              <w:rPr>
                <w:b/>
                <w:sz w:val="24"/>
                <w:szCs w:val="24"/>
              </w:rPr>
              <w:lastRenderedPageBreak/>
              <w:t>ARTÍCULO 5º</w:t>
            </w:r>
            <w:r w:rsidRPr="00A15598">
              <w:rPr>
                <w:sz w:val="24"/>
                <w:szCs w:val="24"/>
              </w:rPr>
              <w:t xml:space="preserve"> Adiciónese un numeral al literal B del artículo 307 de la Ley 906 de 2004.</w:t>
            </w:r>
          </w:p>
          <w:p w14:paraId="694141D4" w14:textId="77777777" w:rsidR="004A776D" w:rsidRPr="00A15598" w:rsidRDefault="004A776D" w:rsidP="004A776D">
            <w:pPr>
              <w:ind w:left="708"/>
              <w:jc w:val="both"/>
              <w:rPr>
                <w:sz w:val="24"/>
                <w:szCs w:val="24"/>
              </w:rPr>
            </w:pPr>
            <w:r w:rsidRPr="00A15598">
              <w:rPr>
                <w:sz w:val="24"/>
                <w:szCs w:val="24"/>
              </w:rPr>
              <w:t xml:space="preserve">ARTÍCULO 307. MEDIDAS DE ASEGURAMIENTO. Son medidas de aseguramiento: (…) </w:t>
            </w:r>
          </w:p>
          <w:p w14:paraId="07874659" w14:textId="77777777" w:rsidR="004A776D" w:rsidRPr="00A15598" w:rsidRDefault="004A776D" w:rsidP="004A776D">
            <w:pPr>
              <w:ind w:left="708"/>
              <w:jc w:val="both"/>
              <w:rPr>
                <w:sz w:val="24"/>
                <w:szCs w:val="24"/>
              </w:rPr>
            </w:pPr>
            <w:r w:rsidRPr="00A15598">
              <w:rPr>
                <w:sz w:val="24"/>
                <w:szCs w:val="24"/>
              </w:rPr>
              <w:t xml:space="preserve">B. No privativas de la libertad. </w:t>
            </w:r>
          </w:p>
          <w:p w14:paraId="14962FD1" w14:textId="7975E4DF" w:rsidR="004A776D" w:rsidRPr="00A15598" w:rsidRDefault="004A776D" w:rsidP="004A776D">
            <w:pPr>
              <w:ind w:left="708"/>
              <w:jc w:val="both"/>
              <w:rPr>
                <w:b/>
                <w:sz w:val="24"/>
                <w:szCs w:val="24"/>
              </w:rPr>
            </w:pPr>
            <w:r w:rsidRPr="00A15598">
              <w:rPr>
                <w:sz w:val="24"/>
                <w:szCs w:val="24"/>
              </w:rPr>
              <w:t>10. La prohibición del ejercicio de cargos, oficios o profesiones que impliquen un trato directo, habitual o circunstancial con menores de edad.</w:t>
            </w:r>
          </w:p>
        </w:tc>
        <w:tc>
          <w:tcPr>
            <w:tcW w:w="4298" w:type="dxa"/>
          </w:tcPr>
          <w:p w14:paraId="60B529B5" w14:textId="31B0C211" w:rsidR="004A776D" w:rsidRPr="00A15598" w:rsidRDefault="004A776D" w:rsidP="002B60D6">
            <w:pPr>
              <w:pStyle w:val="Prrafodelista"/>
              <w:spacing w:after="0" w:line="240" w:lineRule="auto"/>
              <w:ind w:left="0"/>
              <w:jc w:val="both"/>
              <w:textAlignment w:val="baseline"/>
              <w:rPr>
                <w:rFonts w:eastAsia="Times New Roman" w:cstheme="minorHAnsi"/>
                <w:b/>
                <w:bCs/>
                <w:sz w:val="24"/>
                <w:szCs w:val="24"/>
              </w:rPr>
            </w:pPr>
            <w:r w:rsidRPr="00A15598">
              <w:rPr>
                <w:rFonts w:cstheme="minorHAnsi"/>
                <w:b/>
                <w:bCs/>
                <w:sz w:val="24"/>
                <w:szCs w:val="24"/>
              </w:rPr>
              <w:t>ARTÍCULO 5</w:t>
            </w:r>
            <w:r w:rsidRPr="00A15598">
              <w:rPr>
                <w:b/>
                <w:sz w:val="24"/>
                <w:szCs w:val="24"/>
              </w:rPr>
              <w:t xml:space="preserve"> º. </w:t>
            </w:r>
            <w:r w:rsidRPr="00A15598">
              <w:rPr>
                <w:bCs/>
                <w:sz w:val="24"/>
                <w:szCs w:val="24"/>
              </w:rPr>
              <w:t>Sin modificación.</w:t>
            </w:r>
          </w:p>
        </w:tc>
      </w:tr>
      <w:tr w:rsidR="004A776D" w:rsidRPr="00A15598" w14:paraId="54810206" w14:textId="77777777" w:rsidTr="004A776D">
        <w:tc>
          <w:tcPr>
            <w:tcW w:w="4170" w:type="dxa"/>
          </w:tcPr>
          <w:p w14:paraId="306B4D7D" w14:textId="36AE9BEE" w:rsidR="004A776D" w:rsidRPr="00A15598" w:rsidRDefault="004A776D" w:rsidP="004A776D">
            <w:pPr>
              <w:rPr>
                <w:sz w:val="24"/>
                <w:szCs w:val="24"/>
              </w:rPr>
            </w:pPr>
            <w:r w:rsidRPr="00A15598">
              <w:rPr>
                <w:b/>
                <w:sz w:val="24"/>
                <w:szCs w:val="24"/>
              </w:rPr>
              <w:t>ARTÍCULO 6º: VIGENCIA</w:t>
            </w:r>
            <w:r w:rsidRPr="00A15598">
              <w:rPr>
                <w:sz w:val="24"/>
                <w:szCs w:val="24"/>
              </w:rPr>
              <w:t>. La presente ley rige a partir de su publicación y deroga las disposiciones que le sean contrarias.</w:t>
            </w:r>
          </w:p>
        </w:tc>
        <w:tc>
          <w:tcPr>
            <w:tcW w:w="4298" w:type="dxa"/>
          </w:tcPr>
          <w:p w14:paraId="1F888C74" w14:textId="009F4855" w:rsidR="004A776D" w:rsidRPr="00A15598" w:rsidRDefault="004A776D" w:rsidP="002B60D6">
            <w:pPr>
              <w:pStyle w:val="Prrafodelista"/>
              <w:spacing w:after="0" w:line="240" w:lineRule="auto"/>
              <w:ind w:left="0"/>
              <w:jc w:val="both"/>
              <w:textAlignment w:val="baseline"/>
              <w:rPr>
                <w:rFonts w:eastAsia="Times New Roman" w:cstheme="minorHAnsi"/>
                <w:b/>
                <w:bCs/>
                <w:sz w:val="24"/>
                <w:szCs w:val="24"/>
              </w:rPr>
            </w:pPr>
            <w:r w:rsidRPr="00A15598">
              <w:rPr>
                <w:b/>
                <w:sz w:val="24"/>
                <w:szCs w:val="24"/>
              </w:rPr>
              <w:t xml:space="preserve">ARTÍCULO 6 º. </w:t>
            </w:r>
            <w:r w:rsidRPr="00A15598">
              <w:rPr>
                <w:bCs/>
                <w:sz w:val="24"/>
                <w:szCs w:val="24"/>
              </w:rPr>
              <w:t>Sin modificación.</w:t>
            </w:r>
          </w:p>
        </w:tc>
      </w:tr>
    </w:tbl>
    <w:p w14:paraId="4555E2FB" w14:textId="77777777" w:rsidR="009752CB" w:rsidRDefault="009752CB" w:rsidP="009752CB">
      <w:pPr>
        <w:pStyle w:val="Prrafodelista"/>
        <w:shd w:val="clear" w:color="auto" w:fill="FFFFFF"/>
        <w:spacing w:after="0" w:line="240" w:lineRule="auto"/>
        <w:ind w:left="360"/>
        <w:jc w:val="both"/>
        <w:textAlignment w:val="baseline"/>
        <w:rPr>
          <w:rFonts w:eastAsia="Times New Roman" w:cstheme="minorHAnsi"/>
          <w:b/>
          <w:bCs/>
          <w:sz w:val="24"/>
          <w:szCs w:val="24"/>
        </w:rPr>
      </w:pPr>
    </w:p>
    <w:p w14:paraId="72A1B4A5" w14:textId="3516C37A" w:rsidR="00344381" w:rsidRPr="00D862EB" w:rsidRDefault="00344381" w:rsidP="009752CB">
      <w:pPr>
        <w:pStyle w:val="Prrafodelista"/>
        <w:numPr>
          <w:ilvl w:val="0"/>
          <w:numId w:val="1"/>
        </w:numPr>
        <w:shd w:val="clear" w:color="auto" w:fill="FFFFFF"/>
        <w:spacing w:after="0" w:line="240" w:lineRule="auto"/>
        <w:jc w:val="both"/>
        <w:textAlignment w:val="baseline"/>
        <w:rPr>
          <w:rFonts w:eastAsia="Times New Roman" w:cstheme="minorHAnsi"/>
          <w:b/>
          <w:bCs/>
          <w:color w:val="FFFFFF" w:themeColor="background1"/>
          <w:sz w:val="24"/>
          <w:szCs w:val="24"/>
        </w:rPr>
      </w:pPr>
      <w:r w:rsidRPr="00D862EB">
        <w:rPr>
          <w:rFonts w:eastAsia="Times New Roman" w:cstheme="minorHAnsi"/>
          <w:b/>
          <w:bCs/>
          <w:color w:val="FFFFFF" w:themeColor="background1"/>
          <w:sz w:val="24"/>
          <w:szCs w:val="24"/>
        </w:rPr>
        <w:lastRenderedPageBreak/>
        <w:t xml:space="preserve">CONFLICTO DE INTERÉS </w:t>
      </w:r>
    </w:p>
    <w:p w14:paraId="409C1AEC" w14:textId="77777777" w:rsidR="00344381" w:rsidRPr="00D862EB" w:rsidRDefault="00344381" w:rsidP="00344381">
      <w:pPr>
        <w:shd w:val="clear" w:color="auto" w:fill="FFFFFF"/>
        <w:spacing w:after="0" w:line="240" w:lineRule="auto"/>
        <w:jc w:val="both"/>
        <w:textAlignment w:val="baseline"/>
        <w:rPr>
          <w:rFonts w:eastAsia="Times New Roman" w:cstheme="minorHAnsi"/>
          <w:color w:val="FFFFFF" w:themeColor="background1"/>
          <w:sz w:val="24"/>
          <w:szCs w:val="24"/>
        </w:rPr>
      </w:pPr>
    </w:p>
    <w:p w14:paraId="3FC1A8AD" w14:textId="77777777" w:rsidR="00344381" w:rsidRPr="00D862EB" w:rsidRDefault="00344381" w:rsidP="00344381">
      <w:pPr>
        <w:jc w:val="both"/>
        <w:rPr>
          <w:rFonts w:cstheme="minorHAnsi"/>
          <w:color w:val="FFFFFF" w:themeColor="background1"/>
          <w:sz w:val="24"/>
          <w:szCs w:val="24"/>
        </w:rPr>
      </w:pPr>
      <w:r w:rsidRPr="00D862EB">
        <w:rPr>
          <w:rFonts w:cstheme="minorHAnsi"/>
          <w:color w:val="FFFFFF" w:themeColor="background1"/>
          <w:sz w:val="24"/>
          <w:szCs w:val="24"/>
        </w:rPr>
        <w:t>Atendiendo a lo dispuesto en el artículo 3 de la Ley 2003 de 2019, por la cual se modifica parcialmente la Ley 5ª de 1992 y se dictan otras disposiciones, que modifica el artículo 291 de la Ley 5ª de 1992, en la que se establece que el autor del proyecto y el ponente presentarán la descripción de las posibles circunstancias o eventos que podrán generar un conflicto de interés para la discusión y votación del proyecto. Me permito señalar que, frente al presente proyecto, se considera que no genera conflicto de interés, dado que no configura situaciones que signifiquen un beneficio particular y directo a favor de los Congresistas. Por esta razón, no sé evidencian razones por las cuales un Congresista deba declararse impedido para la discusión y votación del presente Proyecto de Ley. Finalmente, se recuerda que la descripción de los posibles conflictos de interés que se puedan presentar frente al trámite del presente proyecto de ley no exime del deber del Congresista de identificar causales adicionales</w:t>
      </w:r>
    </w:p>
    <w:p w14:paraId="0370BFA1" w14:textId="77777777" w:rsidR="00344381" w:rsidRPr="00D862EB" w:rsidRDefault="00344381" w:rsidP="00142B6B">
      <w:pPr>
        <w:pStyle w:val="Prrafodelista"/>
        <w:numPr>
          <w:ilvl w:val="0"/>
          <w:numId w:val="1"/>
        </w:numPr>
        <w:spacing w:after="160" w:line="259" w:lineRule="auto"/>
        <w:jc w:val="both"/>
        <w:rPr>
          <w:rFonts w:eastAsia="Calibri" w:cstheme="minorHAnsi"/>
          <w:b/>
          <w:color w:val="FFFFFF" w:themeColor="background1"/>
          <w:sz w:val="24"/>
          <w:szCs w:val="24"/>
        </w:rPr>
      </w:pPr>
      <w:r w:rsidRPr="00D862EB">
        <w:rPr>
          <w:rFonts w:eastAsia="Calibri" w:cstheme="minorHAnsi"/>
          <w:b/>
          <w:color w:val="FFFFFF" w:themeColor="background1"/>
          <w:sz w:val="24"/>
          <w:szCs w:val="24"/>
        </w:rPr>
        <w:t>PROPOSICIÓN</w:t>
      </w:r>
    </w:p>
    <w:p w14:paraId="1774419B" w14:textId="26D25601" w:rsidR="00441599" w:rsidRPr="00A15598" w:rsidRDefault="00344381" w:rsidP="00441599">
      <w:pPr>
        <w:spacing w:after="0" w:line="240" w:lineRule="auto"/>
        <w:jc w:val="both"/>
        <w:rPr>
          <w:rFonts w:eastAsia="Times New Roman" w:cstheme="minorHAnsi"/>
          <w:i/>
          <w:sz w:val="24"/>
          <w:szCs w:val="24"/>
          <w:lang w:val="es-ES_tradnl" w:eastAsia="es-ES_tradnl"/>
        </w:rPr>
      </w:pPr>
      <w:r w:rsidRPr="00D862EB">
        <w:rPr>
          <w:rFonts w:eastAsia="Calibri" w:cstheme="minorHAnsi"/>
          <w:color w:val="FFFFFF" w:themeColor="background1"/>
          <w:sz w:val="24"/>
          <w:szCs w:val="24"/>
        </w:rPr>
        <w:t xml:space="preserve">Por lo anteriormente expuesto rindo ponencia positiva y, en consecuencia, solicito a los Honorables </w:t>
      </w:r>
      <w:r w:rsidR="00441599" w:rsidRPr="00D862EB">
        <w:rPr>
          <w:rFonts w:eastAsia="Calibri" w:cstheme="minorHAnsi"/>
          <w:color w:val="FFFFFF" w:themeColor="background1"/>
          <w:sz w:val="24"/>
          <w:szCs w:val="24"/>
        </w:rPr>
        <w:t xml:space="preserve">Representantes </w:t>
      </w:r>
      <w:r w:rsidRPr="00D862EB">
        <w:rPr>
          <w:rFonts w:eastAsia="Calibri" w:cstheme="minorHAnsi"/>
          <w:color w:val="FFFFFF" w:themeColor="background1"/>
          <w:sz w:val="24"/>
          <w:szCs w:val="24"/>
        </w:rPr>
        <w:t xml:space="preserve">dar </w:t>
      </w:r>
      <w:r w:rsidR="00441599" w:rsidRPr="00D862EB">
        <w:rPr>
          <w:rFonts w:eastAsia="Calibri" w:cstheme="minorHAnsi"/>
          <w:color w:val="FFFFFF" w:themeColor="background1"/>
          <w:sz w:val="24"/>
          <w:szCs w:val="24"/>
        </w:rPr>
        <w:t xml:space="preserve">primer </w:t>
      </w:r>
      <w:r w:rsidRPr="00D862EB">
        <w:rPr>
          <w:rFonts w:eastAsia="Calibri" w:cstheme="minorHAnsi"/>
          <w:color w:val="FFFFFF" w:themeColor="background1"/>
          <w:sz w:val="24"/>
          <w:szCs w:val="24"/>
        </w:rPr>
        <w:t xml:space="preserve">debate al </w:t>
      </w:r>
      <w:r w:rsidR="00441599" w:rsidRPr="00D862EB">
        <w:rPr>
          <w:rFonts w:eastAsia="Times New Roman" w:cstheme="minorHAnsi"/>
          <w:color w:val="FFFFFF" w:themeColor="background1"/>
          <w:sz w:val="24"/>
          <w:szCs w:val="24"/>
          <w:lang w:val="es-ES_tradnl" w:eastAsia="es-ES_tradnl"/>
        </w:rPr>
        <w:t xml:space="preserve">al </w:t>
      </w:r>
      <w:r w:rsidR="00441599" w:rsidRPr="00D862EB">
        <w:rPr>
          <w:rFonts w:eastAsia="Times New Roman" w:cstheme="minorHAnsi"/>
          <w:b/>
          <w:color w:val="FFFFFF" w:themeColor="background1"/>
          <w:sz w:val="24"/>
          <w:szCs w:val="24"/>
          <w:lang w:val="es-ES_tradnl" w:eastAsia="es-ES_tradnl"/>
        </w:rPr>
        <w:t>PROYECTO DE LEY 348 DE 2024 CÁMARA- 105 DE 2022 SENADO</w:t>
      </w:r>
      <w:r w:rsidR="00441599" w:rsidRPr="00D862EB">
        <w:rPr>
          <w:rFonts w:eastAsia="Times New Roman" w:cstheme="minorHAnsi"/>
          <w:color w:val="FFFFFF" w:themeColor="background1"/>
          <w:sz w:val="24"/>
          <w:szCs w:val="24"/>
          <w:lang w:val="es-ES_tradnl" w:eastAsia="es-ES_tradnl"/>
        </w:rPr>
        <w:t xml:space="preserve">: </w:t>
      </w:r>
      <w:r w:rsidR="00441599" w:rsidRPr="00D862EB">
        <w:rPr>
          <w:rFonts w:eastAsia="Times New Roman" w:cstheme="minorHAnsi"/>
          <w:bCs/>
          <w:i/>
          <w:color w:val="FFFFFF" w:themeColor="background1"/>
          <w:sz w:val="24"/>
          <w:szCs w:val="24"/>
          <w:lang w:val="es-ES_tradnl" w:eastAsia="es-ES_tradnl"/>
        </w:rPr>
        <w:t>“</w:t>
      </w:r>
      <w:r w:rsidR="00441599" w:rsidRPr="00D862EB">
        <w:rPr>
          <w:rFonts w:cstheme="minorHAnsi"/>
          <w:i/>
          <w:color w:val="FFFFFF" w:themeColor="background1"/>
          <w:sz w:val="24"/>
          <w:szCs w:val="24"/>
        </w:rPr>
        <w:t>Por medio de la cual se establecen los cargos, oficios o profesiones susceptibles de aplicación de la inhabilidad por delitos sexuales contra menores y se dictan otras disposiciones. “ENTORNOS SEGUROS”</w:t>
      </w:r>
      <w:r w:rsidR="00D862EB">
        <w:rPr>
          <w:rFonts w:cstheme="minorHAnsi"/>
          <w:i/>
          <w:sz w:val="24"/>
          <w:szCs w:val="24"/>
        </w:rPr>
        <w:t xml:space="preserve"> </w:t>
      </w:r>
      <w:r w:rsidR="00D862EB" w:rsidRPr="00D862EB">
        <w:rPr>
          <w:rFonts w:cstheme="minorHAnsi"/>
          <w:iCs/>
          <w:sz w:val="24"/>
          <w:szCs w:val="24"/>
        </w:rPr>
        <w:t>Conforme al Texto Propuesto.</w:t>
      </w:r>
      <w:r w:rsidR="00D862EB">
        <w:rPr>
          <w:rFonts w:cstheme="minorHAnsi"/>
          <w:i/>
          <w:sz w:val="24"/>
          <w:szCs w:val="24"/>
        </w:rPr>
        <w:t xml:space="preserve"> </w:t>
      </w:r>
    </w:p>
    <w:p w14:paraId="6205A109" w14:textId="77777777" w:rsidR="007073C2" w:rsidRPr="00A15598" w:rsidRDefault="007073C2" w:rsidP="00344381">
      <w:pPr>
        <w:spacing w:after="0" w:line="240" w:lineRule="auto"/>
        <w:jc w:val="both"/>
        <w:rPr>
          <w:rFonts w:cstheme="minorHAnsi"/>
          <w:b/>
          <w:sz w:val="24"/>
          <w:szCs w:val="24"/>
        </w:rPr>
      </w:pPr>
    </w:p>
    <w:p w14:paraId="0CFFCC49" w14:textId="77777777" w:rsidR="00142B6B" w:rsidRPr="00A15598" w:rsidRDefault="00142B6B" w:rsidP="00441599">
      <w:pPr>
        <w:spacing w:after="0" w:line="240" w:lineRule="auto"/>
        <w:jc w:val="center"/>
        <w:rPr>
          <w:rFonts w:cstheme="minorHAnsi"/>
          <w:b/>
          <w:sz w:val="24"/>
          <w:szCs w:val="24"/>
        </w:rPr>
      </w:pPr>
    </w:p>
    <w:p w14:paraId="4C4CC337" w14:textId="77777777" w:rsidR="00215B7B" w:rsidRPr="00D862EB" w:rsidRDefault="00215B7B" w:rsidP="00215B7B">
      <w:pPr>
        <w:rPr>
          <w:rFonts w:cstheme="minorHAnsi"/>
          <w:color w:val="FFFFFF" w:themeColor="background1"/>
          <w:sz w:val="24"/>
          <w:szCs w:val="24"/>
        </w:rPr>
      </w:pPr>
      <w:r w:rsidRPr="00D862EB">
        <w:rPr>
          <w:rFonts w:cstheme="minorHAnsi"/>
          <w:color w:val="FFFFFF" w:themeColor="background1"/>
          <w:sz w:val="24"/>
          <w:szCs w:val="24"/>
        </w:rPr>
        <w:t xml:space="preserve">De usted, </w:t>
      </w:r>
    </w:p>
    <w:p w14:paraId="37EA05C0" w14:textId="77777777" w:rsidR="00215B7B" w:rsidRPr="00D862EB" w:rsidRDefault="00215B7B" w:rsidP="00215B7B">
      <w:pPr>
        <w:pStyle w:val="Sinespaciado"/>
        <w:rPr>
          <w:rFonts w:cstheme="minorHAnsi"/>
          <w:b/>
          <w:color w:val="FFFFFF" w:themeColor="background1"/>
          <w:sz w:val="24"/>
          <w:szCs w:val="24"/>
        </w:rPr>
      </w:pPr>
    </w:p>
    <w:p w14:paraId="27EB5864" w14:textId="77777777" w:rsidR="00215B7B" w:rsidRPr="00D862EB" w:rsidRDefault="00215B7B" w:rsidP="00215B7B">
      <w:pPr>
        <w:pStyle w:val="Sinespaciado"/>
        <w:rPr>
          <w:rFonts w:cstheme="minorHAnsi"/>
          <w:b/>
          <w:color w:val="FFFFFF" w:themeColor="background1"/>
          <w:sz w:val="24"/>
          <w:szCs w:val="24"/>
        </w:rPr>
      </w:pPr>
    </w:p>
    <w:p w14:paraId="0AAAAC4E" w14:textId="77777777" w:rsidR="00215B7B" w:rsidRPr="00D862EB" w:rsidRDefault="00215B7B" w:rsidP="00215B7B">
      <w:pPr>
        <w:pStyle w:val="Sinespaciado"/>
        <w:rPr>
          <w:rFonts w:cstheme="minorHAnsi"/>
          <w:b/>
          <w:color w:val="FFFFFF" w:themeColor="background1"/>
          <w:sz w:val="24"/>
          <w:szCs w:val="24"/>
        </w:rPr>
      </w:pPr>
    </w:p>
    <w:p w14:paraId="50A0D3BF" w14:textId="77777777" w:rsidR="00215B7B" w:rsidRPr="00D862EB" w:rsidRDefault="00215B7B" w:rsidP="00215B7B">
      <w:pPr>
        <w:pStyle w:val="Sinespaciado"/>
        <w:rPr>
          <w:rFonts w:cstheme="minorHAnsi"/>
          <w:b/>
          <w:color w:val="FFFFFF" w:themeColor="background1"/>
          <w:sz w:val="24"/>
          <w:szCs w:val="24"/>
        </w:rPr>
      </w:pPr>
      <w:r w:rsidRPr="00D862EB">
        <w:rPr>
          <w:rFonts w:cstheme="minorHAnsi"/>
          <w:b/>
          <w:color w:val="FFFFFF" w:themeColor="background1"/>
          <w:sz w:val="24"/>
          <w:szCs w:val="24"/>
        </w:rPr>
        <w:t>RUTH AMELIA CAYCEDO ROSERO</w:t>
      </w:r>
    </w:p>
    <w:p w14:paraId="44E8350E" w14:textId="2529C96A" w:rsidR="00215B7B" w:rsidRPr="00D862EB" w:rsidRDefault="00215B7B" w:rsidP="00215B7B">
      <w:pPr>
        <w:pStyle w:val="Sinespaciado"/>
        <w:rPr>
          <w:rFonts w:cstheme="minorHAnsi"/>
          <w:color w:val="FFFFFF" w:themeColor="background1"/>
          <w:sz w:val="24"/>
          <w:szCs w:val="24"/>
        </w:rPr>
      </w:pPr>
      <w:r w:rsidRPr="00D862EB">
        <w:rPr>
          <w:rFonts w:cstheme="minorHAnsi"/>
          <w:color w:val="FFFFFF" w:themeColor="background1"/>
          <w:sz w:val="24"/>
          <w:szCs w:val="24"/>
        </w:rPr>
        <w:t>Representante a la Cámara por el Departamento de Nariño</w:t>
      </w:r>
    </w:p>
    <w:p w14:paraId="1B483ECB" w14:textId="4F20B4FC" w:rsidR="00215B7B" w:rsidRPr="00D862EB" w:rsidRDefault="00215B7B" w:rsidP="00215B7B">
      <w:pPr>
        <w:pStyle w:val="Sinespaciado"/>
        <w:rPr>
          <w:rFonts w:cstheme="minorHAnsi"/>
          <w:color w:val="FFFFFF" w:themeColor="background1"/>
          <w:sz w:val="24"/>
          <w:szCs w:val="24"/>
        </w:rPr>
      </w:pPr>
      <w:r w:rsidRPr="00D862EB">
        <w:rPr>
          <w:rFonts w:cstheme="minorHAnsi"/>
          <w:color w:val="FFFFFF" w:themeColor="background1"/>
          <w:sz w:val="24"/>
          <w:szCs w:val="24"/>
        </w:rPr>
        <w:t>Partido Conservador Colombiano</w:t>
      </w:r>
    </w:p>
    <w:p w14:paraId="3D9DAA05" w14:textId="77777777" w:rsidR="00142B6B" w:rsidRPr="00D862EB" w:rsidRDefault="00142B6B" w:rsidP="00441599">
      <w:pPr>
        <w:spacing w:after="0" w:line="240" w:lineRule="auto"/>
        <w:jc w:val="center"/>
        <w:rPr>
          <w:rFonts w:cstheme="minorHAnsi"/>
          <w:b/>
          <w:color w:val="FFFFFF" w:themeColor="background1"/>
          <w:sz w:val="24"/>
          <w:szCs w:val="24"/>
        </w:rPr>
      </w:pPr>
    </w:p>
    <w:p w14:paraId="6490451A" w14:textId="77777777" w:rsidR="00142B6B" w:rsidRPr="00A15598" w:rsidRDefault="00142B6B" w:rsidP="00441599">
      <w:pPr>
        <w:spacing w:after="0" w:line="240" w:lineRule="auto"/>
        <w:jc w:val="center"/>
        <w:rPr>
          <w:rFonts w:cstheme="minorHAnsi"/>
          <w:b/>
          <w:sz w:val="24"/>
          <w:szCs w:val="24"/>
        </w:rPr>
      </w:pPr>
    </w:p>
    <w:p w14:paraId="4FB8D1D7" w14:textId="77777777" w:rsidR="00D60436" w:rsidRDefault="00D60436" w:rsidP="00441599">
      <w:pPr>
        <w:spacing w:after="0" w:line="240" w:lineRule="auto"/>
        <w:jc w:val="center"/>
        <w:rPr>
          <w:rFonts w:cstheme="minorHAnsi"/>
          <w:b/>
          <w:sz w:val="24"/>
          <w:szCs w:val="24"/>
        </w:rPr>
      </w:pPr>
    </w:p>
    <w:p w14:paraId="7075036D" w14:textId="77777777" w:rsidR="009752CB" w:rsidRDefault="009752CB" w:rsidP="00441599">
      <w:pPr>
        <w:spacing w:after="0" w:line="240" w:lineRule="auto"/>
        <w:jc w:val="center"/>
        <w:rPr>
          <w:rFonts w:cstheme="minorHAnsi"/>
          <w:b/>
          <w:sz w:val="24"/>
          <w:szCs w:val="24"/>
        </w:rPr>
      </w:pPr>
    </w:p>
    <w:p w14:paraId="3A6B32F3" w14:textId="77777777" w:rsidR="009752CB" w:rsidRDefault="009752CB" w:rsidP="00441599">
      <w:pPr>
        <w:spacing w:after="0" w:line="240" w:lineRule="auto"/>
        <w:jc w:val="center"/>
        <w:rPr>
          <w:rFonts w:cstheme="minorHAnsi"/>
          <w:b/>
          <w:sz w:val="24"/>
          <w:szCs w:val="24"/>
        </w:rPr>
      </w:pPr>
    </w:p>
    <w:p w14:paraId="19F87F88" w14:textId="77777777" w:rsidR="009752CB" w:rsidRDefault="009752CB" w:rsidP="00441599">
      <w:pPr>
        <w:spacing w:after="0" w:line="240" w:lineRule="auto"/>
        <w:jc w:val="center"/>
        <w:rPr>
          <w:rFonts w:cstheme="minorHAnsi"/>
          <w:b/>
          <w:sz w:val="24"/>
          <w:szCs w:val="24"/>
        </w:rPr>
      </w:pPr>
    </w:p>
    <w:p w14:paraId="7E2E5B0C" w14:textId="77777777" w:rsidR="009752CB" w:rsidRDefault="009752CB" w:rsidP="00441599">
      <w:pPr>
        <w:spacing w:after="0" w:line="240" w:lineRule="auto"/>
        <w:jc w:val="center"/>
        <w:rPr>
          <w:rFonts w:cstheme="minorHAnsi"/>
          <w:b/>
          <w:sz w:val="24"/>
          <w:szCs w:val="24"/>
        </w:rPr>
      </w:pPr>
    </w:p>
    <w:p w14:paraId="54645DC8" w14:textId="77777777" w:rsidR="009752CB" w:rsidRDefault="009752CB" w:rsidP="00441599">
      <w:pPr>
        <w:spacing w:after="0" w:line="240" w:lineRule="auto"/>
        <w:jc w:val="center"/>
        <w:rPr>
          <w:rFonts w:cstheme="minorHAnsi"/>
          <w:b/>
          <w:sz w:val="24"/>
          <w:szCs w:val="24"/>
        </w:rPr>
      </w:pPr>
    </w:p>
    <w:p w14:paraId="125BD3CE" w14:textId="77777777" w:rsidR="009752CB" w:rsidRDefault="009752CB" w:rsidP="00441599">
      <w:pPr>
        <w:spacing w:after="0" w:line="240" w:lineRule="auto"/>
        <w:jc w:val="center"/>
        <w:rPr>
          <w:rFonts w:cstheme="minorHAnsi"/>
          <w:b/>
          <w:sz w:val="24"/>
          <w:szCs w:val="24"/>
        </w:rPr>
      </w:pPr>
    </w:p>
    <w:p w14:paraId="1427DBD9" w14:textId="77777777" w:rsidR="009752CB" w:rsidRPr="00A15598" w:rsidRDefault="009752CB" w:rsidP="00441599">
      <w:pPr>
        <w:spacing w:after="0" w:line="240" w:lineRule="auto"/>
        <w:jc w:val="center"/>
        <w:rPr>
          <w:rFonts w:cstheme="minorHAnsi"/>
          <w:b/>
          <w:sz w:val="24"/>
          <w:szCs w:val="24"/>
        </w:rPr>
      </w:pPr>
    </w:p>
    <w:p w14:paraId="0DB7D4A2" w14:textId="77777777" w:rsidR="002B60D6" w:rsidRPr="00A15598" w:rsidRDefault="002B60D6" w:rsidP="00441599">
      <w:pPr>
        <w:spacing w:after="0" w:line="240" w:lineRule="auto"/>
        <w:jc w:val="center"/>
        <w:rPr>
          <w:rFonts w:cstheme="minorHAnsi"/>
          <w:b/>
          <w:sz w:val="24"/>
          <w:szCs w:val="24"/>
        </w:rPr>
      </w:pPr>
    </w:p>
    <w:p w14:paraId="60650AB0" w14:textId="77777777" w:rsidR="00344381" w:rsidRPr="00A15598" w:rsidRDefault="00344381" w:rsidP="00441599">
      <w:pPr>
        <w:spacing w:after="0" w:line="240" w:lineRule="auto"/>
        <w:jc w:val="center"/>
        <w:rPr>
          <w:rFonts w:cstheme="minorHAnsi"/>
          <w:b/>
          <w:sz w:val="24"/>
          <w:szCs w:val="24"/>
        </w:rPr>
      </w:pPr>
      <w:r w:rsidRPr="00A15598">
        <w:rPr>
          <w:rFonts w:cstheme="minorHAnsi"/>
          <w:b/>
          <w:sz w:val="24"/>
          <w:szCs w:val="24"/>
        </w:rPr>
        <w:lastRenderedPageBreak/>
        <w:t xml:space="preserve">TEXTO PROPUESTO PARA </w:t>
      </w:r>
      <w:r w:rsidR="002561E4" w:rsidRPr="00A15598">
        <w:rPr>
          <w:rFonts w:cstheme="minorHAnsi"/>
          <w:b/>
          <w:sz w:val="24"/>
          <w:szCs w:val="24"/>
        </w:rPr>
        <w:t xml:space="preserve">PRIMER </w:t>
      </w:r>
      <w:r w:rsidRPr="00A15598">
        <w:rPr>
          <w:rFonts w:cstheme="minorHAnsi"/>
          <w:b/>
          <w:sz w:val="24"/>
          <w:szCs w:val="24"/>
        </w:rPr>
        <w:t>DEBATE</w:t>
      </w:r>
    </w:p>
    <w:p w14:paraId="1F57F8DA" w14:textId="77777777" w:rsidR="00441599" w:rsidRPr="00A15598" w:rsidRDefault="00441599" w:rsidP="00441599">
      <w:pPr>
        <w:spacing w:after="0" w:line="240" w:lineRule="auto"/>
        <w:jc w:val="center"/>
        <w:rPr>
          <w:rFonts w:cstheme="minorHAnsi"/>
          <w:b/>
          <w:sz w:val="24"/>
          <w:szCs w:val="24"/>
        </w:rPr>
      </w:pPr>
    </w:p>
    <w:p w14:paraId="0CF280CA" w14:textId="77777777" w:rsidR="00441599" w:rsidRPr="00A15598" w:rsidRDefault="00441599" w:rsidP="00441599">
      <w:pPr>
        <w:spacing w:after="0" w:line="240" w:lineRule="auto"/>
        <w:jc w:val="both"/>
        <w:rPr>
          <w:rFonts w:eastAsia="Times New Roman" w:cstheme="minorHAnsi"/>
          <w:i/>
          <w:sz w:val="24"/>
          <w:szCs w:val="24"/>
          <w:lang w:val="es-ES_tradnl" w:eastAsia="es-ES_tradnl"/>
        </w:rPr>
      </w:pPr>
      <w:r w:rsidRPr="00A15598">
        <w:rPr>
          <w:rFonts w:eastAsia="Times New Roman" w:cstheme="minorHAnsi"/>
          <w:b/>
          <w:sz w:val="24"/>
          <w:szCs w:val="24"/>
          <w:lang w:val="es-ES_tradnl" w:eastAsia="es-ES_tradnl"/>
        </w:rPr>
        <w:t>PROYECTO DE LEY 348 DE 2024 CÁMARA- 105 DE 2022 SENADO</w:t>
      </w:r>
      <w:r w:rsidRPr="00A15598">
        <w:rPr>
          <w:rFonts w:eastAsia="Times New Roman" w:cstheme="minorHAnsi"/>
          <w:sz w:val="24"/>
          <w:szCs w:val="24"/>
          <w:lang w:val="es-ES_tradnl" w:eastAsia="es-ES_tradnl"/>
        </w:rPr>
        <w:t xml:space="preserve">: </w:t>
      </w:r>
      <w:r w:rsidRPr="00A15598">
        <w:rPr>
          <w:rFonts w:eastAsia="Times New Roman" w:cstheme="minorHAnsi"/>
          <w:bCs/>
          <w:i/>
          <w:sz w:val="24"/>
          <w:szCs w:val="24"/>
          <w:lang w:val="es-ES_tradnl" w:eastAsia="es-ES_tradnl"/>
        </w:rPr>
        <w:t>“</w:t>
      </w:r>
      <w:r w:rsidRPr="00A15598">
        <w:rPr>
          <w:rFonts w:cstheme="minorHAnsi"/>
          <w:i/>
          <w:sz w:val="24"/>
          <w:szCs w:val="24"/>
        </w:rPr>
        <w:t>Por medio de la cual se establecen los cargos, oficios o profesiones susceptibles de aplicación de la inhabilidad por delitos sexuales contra menores y se dictan otras disposiciones. “ENTORNOS SEGUROS”</w:t>
      </w:r>
    </w:p>
    <w:p w14:paraId="4E4384B2" w14:textId="77777777" w:rsidR="00441599" w:rsidRPr="00A15598" w:rsidRDefault="00441599" w:rsidP="00441599">
      <w:pPr>
        <w:spacing w:after="0" w:line="240" w:lineRule="auto"/>
        <w:jc w:val="both"/>
        <w:rPr>
          <w:rFonts w:cstheme="minorHAnsi"/>
          <w:b/>
          <w:sz w:val="24"/>
          <w:szCs w:val="24"/>
        </w:rPr>
      </w:pPr>
    </w:p>
    <w:p w14:paraId="0F468D2A" w14:textId="77777777" w:rsidR="00344381" w:rsidRPr="00A15598" w:rsidRDefault="00344381" w:rsidP="00344381">
      <w:pPr>
        <w:jc w:val="center"/>
        <w:rPr>
          <w:rFonts w:cstheme="minorHAnsi"/>
          <w:sz w:val="24"/>
          <w:szCs w:val="24"/>
        </w:rPr>
      </w:pPr>
      <w:r w:rsidRPr="00A15598">
        <w:rPr>
          <w:rFonts w:cstheme="minorHAnsi"/>
          <w:sz w:val="24"/>
          <w:szCs w:val="24"/>
        </w:rPr>
        <w:t>El Congreso de la República</w:t>
      </w:r>
    </w:p>
    <w:p w14:paraId="20A23856" w14:textId="77777777" w:rsidR="00344381" w:rsidRPr="00A15598" w:rsidRDefault="00344381" w:rsidP="00344381">
      <w:pPr>
        <w:jc w:val="center"/>
        <w:rPr>
          <w:rFonts w:cstheme="minorHAnsi"/>
          <w:sz w:val="24"/>
          <w:szCs w:val="24"/>
        </w:rPr>
      </w:pPr>
      <w:r w:rsidRPr="00A15598">
        <w:rPr>
          <w:rFonts w:cstheme="minorHAnsi"/>
          <w:sz w:val="24"/>
          <w:szCs w:val="24"/>
        </w:rPr>
        <w:t>DECRETA:</w:t>
      </w:r>
    </w:p>
    <w:p w14:paraId="0A57F7F0" w14:textId="77777777" w:rsidR="00142B6B" w:rsidRPr="00A15598" w:rsidRDefault="00142B6B" w:rsidP="00142B6B">
      <w:pPr>
        <w:jc w:val="both"/>
        <w:rPr>
          <w:rFonts w:cstheme="minorHAnsi"/>
          <w:sz w:val="24"/>
          <w:szCs w:val="24"/>
        </w:rPr>
      </w:pPr>
      <w:r w:rsidRPr="00A15598">
        <w:rPr>
          <w:rFonts w:cstheme="minorHAnsi"/>
          <w:b/>
          <w:sz w:val="24"/>
          <w:szCs w:val="24"/>
        </w:rPr>
        <w:t>ARTÍCULO 1º. OBJETO.</w:t>
      </w:r>
      <w:r w:rsidRPr="00A15598">
        <w:rPr>
          <w:rFonts w:cstheme="minorHAnsi"/>
          <w:sz w:val="24"/>
          <w:szCs w:val="24"/>
        </w:rPr>
        <w:t xml:space="preserve"> El objeto de la presente ley es establecer los cargos, oficios o profesiones susceptibles de aplicación de la inhabilidad por delitos sexuales contra menores en los términos de la Ley 1918 de 2019 y el límite de la aplicación de la inhabilidad. </w:t>
      </w:r>
    </w:p>
    <w:p w14:paraId="6BCF6A9B" w14:textId="77777777" w:rsidR="00142B6B" w:rsidRPr="00A15598" w:rsidRDefault="00142B6B" w:rsidP="00142B6B">
      <w:pPr>
        <w:jc w:val="both"/>
        <w:rPr>
          <w:rFonts w:cstheme="minorHAnsi"/>
          <w:sz w:val="24"/>
          <w:szCs w:val="24"/>
        </w:rPr>
      </w:pPr>
      <w:r w:rsidRPr="00A15598">
        <w:rPr>
          <w:rFonts w:cstheme="minorHAnsi"/>
          <w:b/>
          <w:sz w:val="24"/>
          <w:szCs w:val="24"/>
        </w:rPr>
        <w:t>ARTÍCULO 2º.</w:t>
      </w:r>
      <w:r w:rsidRPr="00A15598">
        <w:rPr>
          <w:rFonts w:cstheme="minorHAnsi"/>
          <w:sz w:val="24"/>
          <w:szCs w:val="24"/>
        </w:rPr>
        <w:t xml:space="preserve"> Adiciónense dos incisos al artículo 219-C de la Ley 599 de 2000, el cual quedará así: </w:t>
      </w:r>
    </w:p>
    <w:p w14:paraId="0F39B3E6" w14:textId="77777777" w:rsidR="00142B6B" w:rsidRPr="00A15598" w:rsidRDefault="00142B6B" w:rsidP="00142B6B">
      <w:pPr>
        <w:jc w:val="both"/>
        <w:rPr>
          <w:rFonts w:cstheme="minorHAnsi"/>
          <w:sz w:val="24"/>
          <w:szCs w:val="24"/>
        </w:rPr>
      </w:pPr>
      <w:r w:rsidRPr="00A15598">
        <w:rPr>
          <w:rFonts w:cstheme="minorHAnsi"/>
          <w:b/>
          <w:sz w:val="24"/>
          <w:szCs w:val="24"/>
        </w:rPr>
        <w:t>Inhabilidades por delitos sexuales cometidos contra menores:</w:t>
      </w:r>
      <w:r w:rsidRPr="00A15598">
        <w:rPr>
          <w:rFonts w:cstheme="minorHAnsi"/>
          <w:sz w:val="24"/>
          <w:szCs w:val="24"/>
        </w:rPr>
        <w:t xml:space="preserve"> Las personas que hayan sido condenadas por la comisión de delitos contra la libertad, integridad y formación sexual de persona menor de 18 años de acuerdo con el Título IV de la presente ley; serán inhabilitadas para el desempeño de cargos, oficios o profesiones que involucren una relación directa y habitual con menores de edad. </w:t>
      </w:r>
    </w:p>
    <w:p w14:paraId="33B72E23" w14:textId="77777777" w:rsidR="00142B6B" w:rsidRPr="00A15598" w:rsidRDefault="00142B6B" w:rsidP="00142B6B">
      <w:pPr>
        <w:jc w:val="both"/>
        <w:rPr>
          <w:rFonts w:cstheme="minorHAnsi"/>
          <w:sz w:val="24"/>
          <w:szCs w:val="24"/>
        </w:rPr>
      </w:pPr>
      <w:r w:rsidRPr="00A15598">
        <w:rPr>
          <w:rFonts w:cstheme="minorHAnsi"/>
          <w:sz w:val="24"/>
          <w:szCs w:val="24"/>
        </w:rPr>
        <w:t xml:space="preserve">El juez fijará la duración de la inhabilidad en el fallo condenatorio sujetándose a los límites temporales establecidos en el inciso primero del artículo 51 de la presente ley, la cual empezará a contarse una vez se cumpla la pena principal. </w:t>
      </w:r>
    </w:p>
    <w:p w14:paraId="1571B54E" w14:textId="77777777" w:rsidR="00142B6B" w:rsidRPr="00A15598" w:rsidRDefault="00142B6B" w:rsidP="00142B6B">
      <w:pPr>
        <w:jc w:val="both"/>
        <w:rPr>
          <w:rFonts w:cstheme="minorHAnsi"/>
          <w:sz w:val="24"/>
          <w:szCs w:val="24"/>
        </w:rPr>
      </w:pPr>
      <w:r w:rsidRPr="00A15598">
        <w:rPr>
          <w:rFonts w:cstheme="minorHAnsi"/>
          <w:sz w:val="24"/>
          <w:szCs w:val="24"/>
        </w:rPr>
        <w:t xml:space="preserve">El juez determinará la relación directa y habitual con menores de edad del condenado para imponer la inhabilidad para ejercer cargos, oficios o profesiones por delitos sexuales contra menores. </w:t>
      </w:r>
    </w:p>
    <w:p w14:paraId="46453AD7" w14:textId="77777777" w:rsidR="00142B6B" w:rsidRPr="00A15598" w:rsidRDefault="00142B6B" w:rsidP="00142B6B">
      <w:pPr>
        <w:jc w:val="both"/>
        <w:rPr>
          <w:rFonts w:cstheme="minorHAnsi"/>
          <w:sz w:val="24"/>
          <w:szCs w:val="24"/>
        </w:rPr>
      </w:pPr>
      <w:r w:rsidRPr="00A15598">
        <w:rPr>
          <w:rFonts w:cstheme="minorHAnsi"/>
          <w:b/>
          <w:sz w:val="24"/>
          <w:szCs w:val="24"/>
        </w:rPr>
        <w:t>ARTÍCULO 3º.</w:t>
      </w:r>
      <w:r w:rsidRPr="00A15598">
        <w:rPr>
          <w:rFonts w:cstheme="minorHAnsi"/>
          <w:sz w:val="24"/>
          <w:szCs w:val="24"/>
        </w:rPr>
        <w:t xml:space="preserve"> Adiciónese el artículo 2° a la Ley 1918 de 2018, el cual quedará así: </w:t>
      </w:r>
    </w:p>
    <w:p w14:paraId="68EF2B36" w14:textId="77777777" w:rsidR="00142B6B" w:rsidRPr="00A15598" w:rsidRDefault="00142B6B" w:rsidP="00142B6B">
      <w:pPr>
        <w:ind w:left="708"/>
        <w:jc w:val="both"/>
        <w:rPr>
          <w:rFonts w:cstheme="minorHAnsi"/>
          <w:sz w:val="24"/>
          <w:szCs w:val="24"/>
        </w:rPr>
      </w:pPr>
      <w:r w:rsidRPr="00A15598">
        <w:rPr>
          <w:rFonts w:cstheme="minorHAnsi"/>
          <w:b/>
          <w:sz w:val="24"/>
          <w:szCs w:val="24"/>
        </w:rPr>
        <w:t>ARTÍCULO 2. CARGOS, OFICIOS O PROFESIONES, SUSCEPTIBLES DE APLICACIÓN DE LA INHABILIDAD POR DELITOS SEXUALES CONTRA MENORES</w:t>
      </w:r>
      <w:r w:rsidRPr="00A15598">
        <w:rPr>
          <w:rFonts w:cstheme="minorHAnsi"/>
          <w:sz w:val="24"/>
          <w:szCs w:val="24"/>
        </w:rPr>
        <w:t xml:space="preserve">. Son susceptibles de aplicación de la inhabilidad especial por delitos contra la libertad, integridad y formación sexual cometido contra persona menor de 18 años, los cargos, oficios o profesiones desarrollados en os ámbitos: educativo, recreativo de cuidado, protección, asistencia, salud, nutrición, bienestar, cultural, artístico, deportivo, religioso, seguridad; que impliquen un trato directo, habitual o circunstancial con menores de edad. </w:t>
      </w:r>
    </w:p>
    <w:p w14:paraId="3A59A00B" w14:textId="77777777" w:rsidR="00142B6B" w:rsidRPr="00A15598" w:rsidRDefault="00142B6B" w:rsidP="00142B6B">
      <w:pPr>
        <w:ind w:left="708"/>
        <w:jc w:val="both"/>
        <w:rPr>
          <w:rFonts w:cstheme="minorHAnsi"/>
          <w:sz w:val="24"/>
          <w:szCs w:val="24"/>
        </w:rPr>
      </w:pPr>
      <w:r w:rsidRPr="00A15598">
        <w:rPr>
          <w:rFonts w:cstheme="minorHAnsi"/>
          <w:sz w:val="24"/>
          <w:szCs w:val="24"/>
        </w:rPr>
        <w:lastRenderedPageBreak/>
        <w:t xml:space="preserve">Para los efectos de la presente ley se entenderá por trato directo, el contacto o la interacción personal o a través de cualquier medio tecnológico, que se genere en el ejercicio del cargo, profesión u oficio, de forma frecuente con menores de edad. </w:t>
      </w:r>
    </w:p>
    <w:p w14:paraId="1B5D8F47" w14:textId="77777777" w:rsidR="00142B6B" w:rsidRPr="00A15598" w:rsidRDefault="00142B6B" w:rsidP="00142B6B">
      <w:pPr>
        <w:ind w:left="708"/>
        <w:jc w:val="both"/>
        <w:rPr>
          <w:rFonts w:cstheme="minorHAnsi"/>
          <w:sz w:val="24"/>
          <w:szCs w:val="24"/>
        </w:rPr>
      </w:pPr>
      <w:r w:rsidRPr="00A15598">
        <w:rPr>
          <w:rFonts w:cstheme="minorHAnsi"/>
          <w:sz w:val="24"/>
          <w:szCs w:val="24"/>
        </w:rPr>
        <w:t xml:space="preserve">Son susceptibles de aplicación de la inhabilidad especial los siguientes cargos, oficios o profesiones: </w:t>
      </w:r>
    </w:p>
    <w:p w14:paraId="6F4E62FE"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Docentes, Directivos docentes, coordinadores, orientadores, personal administrativo y demás vinculado a instituciones de educación formal en los distintos niveles educativos. (Inicial, preescolar, básica, media y educación superior). </w:t>
      </w:r>
    </w:p>
    <w:p w14:paraId="2D38A010"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Formadores, instructores, y personal vinculado a educación para el trabajo y el desarrollo humano o su equivalente. </w:t>
      </w:r>
    </w:p>
    <w:p w14:paraId="70614DF7"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Personal de atención directa que su público objetivo sea menor de edad, en servicios culturales, de recreación y deporte, entre otros (Ludotecas, bibliotecas, parques, clubes deportivos o centros de diversiones). </w:t>
      </w:r>
    </w:p>
    <w:p w14:paraId="5FF8F9DC"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Personal de servicio de transporte escolar. </w:t>
      </w:r>
    </w:p>
    <w:p w14:paraId="6D9653F2"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Personal de atención directa en servicios de hotelería y turismo que su público objetivo sea menor de edad. </w:t>
      </w:r>
    </w:p>
    <w:p w14:paraId="3B1F61C0"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Agentes educativos institucionales y comunitarios de modalidades y estrategias enmarcadas en el servicio público de bienestar familiar que su público objetivo sea menor de edad, bien sea en prevención o protección, (Hogares de Paso y servicios de Albergue y Cuidado). </w:t>
      </w:r>
    </w:p>
    <w:p w14:paraId="3DF5DFE3"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Personal médico, de psicología, enfermería, odontología y demás personal de salud, de atención directa que su público objetivo sea menor de edad. </w:t>
      </w:r>
    </w:p>
    <w:p w14:paraId="1C9AD8D7"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Personal de servicios de limpieza en entornos familiares, educativos, recreativos, deportivos, o de contacto directo que su público objetivo sea menor de edad </w:t>
      </w:r>
    </w:p>
    <w:p w14:paraId="7B7D6D9E"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Sacerdotes, pastores, catequistas y guías espirituales. </w:t>
      </w:r>
    </w:p>
    <w:p w14:paraId="15E34B79"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Personal de atención directa en ventas y comercio, que su público sea a la población infantil.</w:t>
      </w:r>
    </w:p>
    <w:p w14:paraId="4BD32B36"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Personal de servicios de cuidados a población infantil, en el ámbito institucional o a domicilio. (Auxiliares de enfermería, acompañantes o cuidadores especializados en la atención de menores de edad). </w:t>
      </w:r>
    </w:p>
    <w:p w14:paraId="7F2D90AD"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Agentes de protección y seguridad. (personal vinculado a empresas de seguridad privada, servicios de logística y seguridad en eventos públicos, otros). </w:t>
      </w:r>
    </w:p>
    <w:p w14:paraId="121449CA"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Personal civil vinculado a cuerpos de salvamento y defensa de la población (Defensa Civil, Bomberos, otros) </w:t>
      </w:r>
    </w:p>
    <w:p w14:paraId="2F5F977C"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Instructores, formadores, orientadores de los centros de desarrollo y bienestar de estimulación temprana o primera infancia. </w:t>
      </w:r>
    </w:p>
    <w:p w14:paraId="0143465E"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lastRenderedPageBreak/>
        <w:t xml:space="preserve">Representantes legales y miembros de juntas directivas de entidades públicas y privadas que prestan servicios para la atención de los niños, las niñas y adolescentes. </w:t>
      </w:r>
    </w:p>
    <w:p w14:paraId="0CEF4138"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Cualquier cargo, oficio o profesión que demuestre un trato directo y habitual con menores de edad. </w:t>
      </w:r>
    </w:p>
    <w:p w14:paraId="51A5B63E" w14:textId="77777777" w:rsidR="00142B6B" w:rsidRPr="00A15598" w:rsidRDefault="00142B6B" w:rsidP="00142B6B">
      <w:pPr>
        <w:pStyle w:val="Prrafodelista"/>
        <w:numPr>
          <w:ilvl w:val="0"/>
          <w:numId w:val="16"/>
        </w:numPr>
        <w:jc w:val="both"/>
        <w:rPr>
          <w:rFonts w:cstheme="minorHAnsi"/>
          <w:b/>
          <w:sz w:val="24"/>
          <w:szCs w:val="24"/>
        </w:rPr>
      </w:pPr>
      <w:r w:rsidRPr="00A15598">
        <w:rPr>
          <w:rFonts w:cstheme="minorHAnsi"/>
          <w:sz w:val="24"/>
          <w:szCs w:val="24"/>
        </w:rPr>
        <w:t xml:space="preserve">Personas o entidades que sostengan contratos temporales con instituciones en los ámbitos educativo, recreativo, de cuidado, protección, asistencia, salud, nutrición, bienestar, cultural, artístico, deportivo, religioso, o de seguridad. Este grupo estará sujeto a la inhabilidad especial cuando su labor implique la realización de reparaciones, obras de construcción, mantenimiento, o cualquier otra actividad que brinde un acceso directo o potencial a menores de edad dentro de las instalaciones de la respectiva institución. </w:t>
      </w:r>
    </w:p>
    <w:p w14:paraId="5D4D5701" w14:textId="77777777" w:rsidR="00142B6B" w:rsidRPr="00A15598" w:rsidRDefault="00142B6B" w:rsidP="00142B6B">
      <w:pPr>
        <w:pStyle w:val="Prrafodelista"/>
        <w:ind w:left="0"/>
        <w:jc w:val="both"/>
        <w:rPr>
          <w:rFonts w:cstheme="minorHAnsi"/>
          <w:b/>
          <w:sz w:val="24"/>
          <w:szCs w:val="24"/>
        </w:rPr>
      </w:pPr>
      <w:r w:rsidRPr="00A15598">
        <w:rPr>
          <w:rFonts w:cstheme="minorHAnsi"/>
          <w:b/>
          <w:sz w:val="24"/>
          <w:szCs w:val="24"/>
        </w:rPr>
        <w:t>Parágrafo.</w:t>
      </w:r>
      <w:r w:rsidRPr="00A15598">
        <w:rPr>
          <w:rFonts w:cstheme="minorHAnsi"/>
          <w:sz w:val="24"/>
          <w:szCs w:val="24"/>
        </w:rPr>
        <w:t xml:space="preserve"> Los cargos, oficios o profesiones enunciados, pueden ser ejecutados en el marco de una relación de carácter remunerado o no remunerado; en causa o actividad que desarrolla una entidad pública o privada.</w:t>
      </w:r>
    </w:p>
    <w:p w14:paraId="7B0FA7DD" w14:textId="77777777" w:rsidR="00142B6B" w:rsidRPr="00A15598" w:rsidRDefault="00142B6B" w:rsidP="00344381">
      <w:pPr>
        <w:jc w:val="both"/>
        <w:rPr>
          <w:rFonts w:cstheme="minorHAnsi"/>
          <w:sz w:val="24"/>
          <w:szCs w:val="24"/>
        </w:rPr>
      </w:pPr>
      <w:r w:rsidRPr="00A15598">
        <w:rPr>
          <w:rFonts w:cstheme="minorHAnsi"/>
          <w:b/>
          <w:sz w:val="24"/>
          <w:szCs w:val="24"/>
        </w:rPr>
        <w:t>ARTÍCULO 4°</w:t>
      </w:r>
      <w:r w:rsidRPr="00A15598">
        <w:rPr>
          <w:rFonts w:cstheme="minorHAnsi"/>
          <w:sz w:val="24"/>
          <w:szCs w:val="24"/>
        </w:rPr>
        <w:t xml:space="preserve"> Modifíquese el artículo 5 de la Ley 1918 de 2018, el cual quedará así: </w:t>
      </w:r>
    </w:p>
    <w:p w14:paraId="22A7B5B5" w14:textId="77777777" w:rsidR="00142B6B" w:rsidRPr="00A15598" w:rsidRDefault="00142B6B" w:rsidP="00142B6B">
      <w:pPr>
        <w:ind w:left="708"/>
        <w:jc w:val="both"/>
        <w:rPr>
          <w:rFonts w:cstheme="minorHAnsi"/>
          <w:sz w:val="24"/>
          <w:szCs w:val="24"/>
        </w:rPr>
      </w:pPr>
      <w:r w:rsidRPr="00A15598">
        <w:rPr>
          <w:rFonts w:cstheme="minorHAnsi"/>
          <w:b/>
          <w:sz w:val="24"/>
          <w:szCs w:val="24"/>
        </w:rPr>
        <w:t>ARTÍCULO 5. SANCIONES.</w:t>
      </w:r>
      <w:r w:rsidRPr="00A15598">
        <w:rPr>
          <w:rFonts w:cstheme="minorHAnsi"/>
          <w:sz w:val="24"/>
          <w:szCs w:val="24"/>
        </w:rPr>
        <w:t xml:space="preserve"> La omisión al deber de verificación en los términos de la presente ley o la contratación de personas inhabilitadas para el ejercicio de los cargos, oficios o profesiones mencionadas en el artículo 2 acarreará a las entidades públicas o privadas y/o personas naturales contratantes, sanción consistente en multa equivalente al valor de cincuenta (50) a quinientos (500) salarios mínimos mensuales legales vigentes. </w:t>
      </w:r>
    </w:p>
    <w:p w14:paraId="16F2B44D" w14:textId="3B9BDD02" w:rsidR="00142B6B" w:rsidRPr="00A15598" w:rsidRDefault="00142B6B" w:rsidP="00142B6B">
      <w:pPr>
        <w:ind w:left="708"/>
        <w:jc w:val="both"/>
        <w:rPr>
          <w:rFonts w:cstheme="minorHAnsi"/>
          <w:sz w:val="24"/>
          <w:szCs w:val="24"/>
        </w:rPr>
      </w:pPr>
      <w:r w:rsidRPr="00A15598">
        <w:rPr>
          <w:rFonts w:cstheme="minorHAnsi"/>
          <w:b/>
          <w:sz w:val="24"/>
          <w:szCs w:val="24"/>
        </w:rPr>
        <w:t>Parágrafo 1.</w:t>
      </w:r>
      <w:r w:rsidRPr="00A15598">
        <w:rPr>
          <w:rFonts w:cstheme="minorHAnsi"/>
          <w:sz w:val="24"/>
          <w:szCs w:val="24"/>
        </w:rPr>
        <w:t xml:space="preserve"> </w:t>
      </w:r>
      <w:r w:rsidR="00526EAE" w:rsidRPr="00A15598">
        <w:rPr>
          <w:rFonts w:cstheme="minorHAnsi"/>
          <w:sz w:val="24"/>
          <w:szCs w:val="24"/>
        </w:rPr>
        <w:t>Las sanciones a las que se refiere el inciso anterior, serán impuestas por el Instituto Colombiano de Bienestar Familiar – ICBF, a través del procedimiento administrativo sancionatorio, en virtud de las competencias otorgadas mediante la Ley 1098 de 2006 y la Resolución 3899 de 2010 del ICBF.</w:t>
      </w:r>
    </w:p>
    <w:p w14:paraId="77FBB5C0" w14:textId="77777777" w:rsidR="00142B6B" w:rsidRPr="00A15598" w:rsidRDefault="00142B6B" w:rsidP="00142B6B">
      <w:pPr>
        <w:ind w:left="708"/>
        <w:jc w:val="both"/>
        <w:rPr>
          <w:rFonts w:cstheme="minorHAnsi"/>
          <w:sz w:val="24"/>
          <w:szCs w:val="24"/>
        </w:rPr>
      </w:pPr>
      <w:r w:rsidRPr="00A15598">
        <w:rPr>
          <w:rFonts w:cstheme="minorHAnsi"/>
          <w:b/>
          <w:sz w:val="24"/>
          <w:szCs w:val="24"/>
        </w:rPr>
        <w:t>Parágrafo 2.</w:t>
      </w:r>
      <w:r w:rsidRPr="00A15598">
        <w:rPr>
          <w:rFonts w:cstheme="minorHAnsi"/>
          <w:sz w:val="24"/>
          <w:szCs w:val="24"/>
        </w:rPr>
        <w:t xml:space="preserve"> El valor de las multas causadas con ocasión de las sanciones anteriormente referidas, será recaudado por el Instituto Colombiano de Bienestar Familiar – ICBF y será destinado, en partes iguales, a la financiación del funcionamiento y promoción del registro de inhabilidades por delitos sexuales contra menores de edad, y al Fondo contra la Explotación Sexual de Niños, Niñas y Adolescentes, creado por el artículo 24 de la Ley 679 de 2001. </w:t>
      </w:r>
    </w:p>
    <w:p w14:paraId="285A381C" w14:textId="6FC20E9F" w:rsidR="00AC31CB" w:rsidRPr="00A15598" w:rsidRDefault="00AC31CB" w:rsidP="00142B6B">
      <w:pPr>
        <w:ind w:left="708"/>
        <w:jc w:val="both"/>
        <w:rPr>
          <w:rFonts w:cstheme="minorHAnsi"/>
          <w:sz w:val="24"/>
          <w:szCs w:val="24"/>
        </w:rPr>
      </w:pPr>
      <w:r w:rsidRPr="00A15598">
        <w:rPr>
          <w:rFonts w:cstheme="minorHAnsi"/>
          <w:b/>
          <w:sz w:val="24"/>
          <w:szCs w:val="24"/>
        </w:rPr>
        <w:t>Parágrafo Transitorio.</w:t>
      </w:r>
      <w:r w:rsidRPr="00A15598">
        <w:rPr>
          <w:rFonts w:cstheme="minorHAnsi"/>
          <w:sz w:val="24"/>
          <w:szCs w:val="24"/>
        </w:rPr>
        <w:t xml:space="preserve"> </w:t>
      </w:r>
      <w:r w:rsidR="00D33B90" w:rsidRPr="00A15598">
        <w:rPr>
          <w:rFonts w:cstheme="minorHAnsi"/>
          <w:sz w:val="24"/>
          <w:szCs w:val="24"/>
        </w:rPr>
        <w:t xml:space="preserve">El Ministerio de Defensa, </w:t>
      </w:r>
      <w:r w:rsidR="000A50C8" w:rsidRPr="00A15598">
        <w:rPr>
          <w:rFonts w:cstheme="minorHAnsi"/>
          <w:sz w:val="24"/>
          <w:szCs w:val="24"/>
        </w:rPr>
        <w:t>en virtud de la ley 1918 de 2019</w:t>
      </w:r>
      <w:r w:rsidR="00D33B90" w:rsidRPr="00A15598">
        <w:rPr>
          <w:rFonts w:cstheme="minorHAnsi"/>
          <w:sz w:val="24"/>
          <w:szCs w:val="24"/>
        </w:rPr>
        <w:t xml:space="preserve">, </w:t>
      </w:r>
      <w:r w:rsidR="000A50C8" w:rsidRPr="00A15598">
        <w:rPr>
          <w:rFonts w:cstheme="minorHAnsi"/>
          <w:sz w:val="24"/>
          <w:szCs w:val="24"/>
        </w:rPr>
        <w:t>tendrá un plazo máximo de seis meses a partir de la promulgación de esta ley para actualizar</w:t>
      </w:r>
      <w:r w:rsidR="00D33B90" w:rsidRPr="00A15598">
        <w:rPr>
          <w:rFonts w:cstheme="minorHAnsi"/>
          <w:sz w:val="24"/>
          <w:szCs w:val="24"/>
        </w:rPr>
        <w:t xml:space="preserve"> el registro de inhabilidades por delitos sexuales cometidos contra </w:t>
      </w:r>
      <w:r w:rsidR="00D33B90" w:rsidRPr="00A15598">
        <w:rPr>
          <w:rFonts w:cstheme="minorHAnsi"/>
          <w:sz w:val="24"/>
          <w:szCs w:val="24"/>
        </w:rPr>
        <w:lastRenderedPageBreak/>
        <w:t>personas menores de edad</w:t>
      </w:r>
      <w:r w:rsidR="000A50C8" w:rsidRPr="00A15598">
        <w:rPr>
          <w:rFonts w:cstheme="minorHAnsi"/>
          <w:sz w:val="24"/>
          <w:szCs w:val="24"/>
        </w:rPr>
        <w:t xml:space="preserve">. Fecha en la cual empezará a regir lo dispuesto en el presente artículo. </w:t>
      </w:r>
    </w:p>
    <w:p w14:paraId="0E788768" w14:textId="77777777" w:rsidR="00142B6B" w:rsidRPr="00A15598" w:rsidRDefault="00142B6B" w:rsidP="00344381">
      <w:pPr>
        <w:jc w:val="both"/>
        <w:rPr>
          <w:rFonts w:cstheme="minorHAnsi"/>
          <w:b/>
          <w:sz w:val="24"/>
          <w:szCs w:val="24"/>
        </w:rPr>
      </w:pPr>
      <w:r w:rsidRPr="00A15598">
        <w:rPr>
          <w:rFonts w:cstheme="minorHAnsi"/>
          <w:b/>
          <w:sz w:val="24"/>
          <w:szCs w:val="24"/>
        </w:rPr>
        <w:t>ARTÍCULO 5º</w:t>
      </w:r>
      <w:r w:rsidRPr="00A15598">
        <w:rPr>
          <w:rFonts w:cstheme="minorHAnsi"/>
          <w:sz w:val="24"/>
          <w:szCs w:val="24"/>
        </w:rPr>
        <w:t xml:space="preserve"> Adiciónese un numeral al literal B del artículo 307 de la Ley 906 de 2004.</w:t>
      </w:r>
    </w:p>
    <w:p w14:paraId="40EF4F9D" w14:textId="77777777" w:rsidR="00142B6B" w:rsidRPr="00A15598" w:rsidRDefault="00142B6B" w:rsidP="00142B6B">
      <w:pPr>
        <w:ind w:left="708"/>
        <w:jc w:val="both"/>
        <w:rPr>
          <w:rFonts w:cstheme="minorHAnsi"/>
          <w:sz w:val="24"/>
          <w:szCs w:val="24"/>
        </w:rPr>
      </w:pPr>
      <w:r w:rsidRPr="00A15598">
        <w:rPr>
          <w:rFonts w:cstheme="minorHAnsi"/>
          <w:sz w:val="24"/>
          <w:szCs w:val="24"/>
        </w:rPr>
        <w:t xml:space="preserve">ARTÍCULO 307. MEDIDAS DE ASEGURAMIENTO. Son medidas de aseguramiento: (…) </w:t>
      </w:r>
    </w:p>
    <w:p w14:paraId="37CE01AB" w14:textId="77777777" w:rsidR="00142B6B" w:rsidRPr="00A15598" w:rsidRDefault="00142B6B" w:rsidP="00142B6B">
      <w:pPr>
        <w:ind w:left="708"/>
        <w:jc w:val="both"/>
        <w:rPr>
          <w:rFonts w:cstheme="minorHAnsi"/>
          <w:sz w:val="24"/>
          <w:szCs w:val="24"/>
        </w:rPr>
      </w:pPr>
      <w:r w:rsidRPr="00A15598">
        <w:rPr>
          <w:rFonts w:cstheme="minorHAnsi"/>
          <w:sz w:val="24"/>
          <w:szCs w:val="24"/>
        </w:rPr>
        <w:t xml:space="preserve">B. No privativas de la libertad. </w:t>
      </w:r>
    </w:p>
    <w:p w14:paraId="7522C978" w14:textId="77777777" w:rsidR="00142B6B" w:rsidRPr="00A15598" w:rsidRDefault="00142B6B" w:rsidP="00142B6B">
      <w:pPr>
        <w:ind w:left="708"/>
        <w:jc w:val="both"/>
        <w:rPr>
          <w:rFonts w:cstheme="minorHAnsi"/>
          <w:b/>
          <w:sz w:val="24"/>
          <w:szCs w:val="24"/>
        </w:rPr>
      </w:pPr>
      <w:r w:rsidRPr="00A15598">
        <w:rPr>
          <w:rFonts w:cstheme="minorHAnsi"/>
          <w:sz w:val="24"/>
          <w:szCs w:val="24"/>
        </w:rPr>
        <w:t>10. La prohibición del ejercicio de cargos, oficios o profesiones que impliquen un trato directo, habitual o circunstancial con menores de edad.</w:t>
      </w:r>
    </w:p>
    <w:p w14:paraId="78B640B4" w14:textId="77777777" w:rsidR="003F4CCB" w:rsidRPr="00A15598" w:rsidRDefault="003F4CCB" w:rsidP="006D53BD">
      <w:pPr>
        <w:jc w:val="both"/>
        <w:rPr>
          <w:sz w:val="24"/>
          <w:szCs w:val="24"/>
        </w:rPr>
      </w:pPr>
      <w:r w:rsidRPr="00A15598">
        <w:rPr>
          <w:b/>
          <w:sz w:val="24"/>
          <w:szCs w:val="24"/>
        </w:rPr>
        <w:t>ARTÍCULO 6º: VIGENCIA</w:t>
      </w:r>
      <w:r w:rsidRPr="00A15598">
        <w:rPr>
          <w:sz w:val="24"/>
          <w:szCs w:val="24"/>
        </w:rPr>
        <w:t>. La presente ley rige a partir de su publicación y deroga las disposiciones que le sean contrarias.</w:t>
      </w:r>
    </w:p>
    <w:p w14:paraId="2CEA7DDB" w14:textId="77777777" w:rsidR="00215B7B" w:rsidRPr="00A15598" w:rsidRDefault="00215B7B">
      <w:pPr>
        <w:rPr>
          <w:rFonts w:cstheme="minorHAnsi"/>
          <w:sz w:val="24"/>
          <w:szCs w:val="24"/>
        </w:rPr>
      </w:pPr>
      <w:r w:rsidRPr="00A15598">
        <w:rPr>
          <w:rFonts w:cstheme="minorHAnsi"/>
          <w:sz w:val="24"/>
          <w:szCs w:val="24"/>
        </w:rPr>
        <w:t xml:space="preserve">De usted, </w:t>
      </w:r>
    </w:p>
    <w:p w14:paraId="3AEAF9A6" w14:textId="77777777" w:rsidR="00215B7B" w:rsidRPr="00A15598" w:rsidRDefault="00215B7B" w:rsidP="00215B7B">
      <w:pPr>
        <w:pStyle w:val="Sinespaciado"/>
        <w:rPr>
          <w:rFonts w:cstheme="minorHAnsi"/>
          <w:b/>
          <w:sz w:val="24"/>
          <w:szCs w:val="24"/>
        </w:rPr>
      </w:pPr>
    </w:p>
    <w:p w14:paraId="63782CE5" w14:textId="77777777" w:rsidR="00215B7B" w:rsidRPr="00A15598" w:rsidRDefault="00215B7B" w:rsidP="00215B7B">
      <w:pPr>
        <w:pStyle w:val="Sinespaciado"/>
        <w:rPr>
          <w:rFonts w:cstheme="minorHAnsi"/>
          <w:b/>
          <w:sz w:val="24"/>
          <w:szCs w:val="24"/>
        </w:rPr>
      </w:pPr>
    </w:p>
    <w:p w14:paraId="145F33FF" w14:textId="77777777" w:rsidR="00215B7B" w:rsidRPr="00A15598" w:rsidRDefault="00215B7B" w:rsidP="00215B7B">
      <w:pPr>
        <w:pStyle w:val="Sinespaciado"/>
        <w:rPr>
          <w:rFonts w:cstheme="minorHAnsi"/>
          <w:b/>
          <w:sz w:val="24"/>
          <w:szCs w:val="24"/>
        </w:rPr>
      </w:pPr>
    </w:p>
    <w:p w14:paraId="235A7935" w14:textId="77777777" w:rsidR="00215B7B" w:rsidRPr="00A15598" w:rsidRDefault="00215B7B" w:rsidP="00215B7B">
      <w:pPr>
        <w:pStyle w:val="Sinespaciado"/>
        <w:rPr>
          <w:rFonts w:cstheme="minorHAnsi"/>
          <w:b/>
          <w:sz w:val="24"/>
          <w:szCs w:val="24"/>
        </w:rPr>
      </w:pPr>
      <w:r w:rsidRPr="00A15598">
        <w:rPr>
          <w:rFonts w:cstheme="minorHAnsi"/>
          <w:b/>
          <w:sz w:val="24"/>
          <w:szCs w:val="24"/>
        </w:rPr>
        <w:t>RUTH AMELIA CAYCEDO ROSERO</w:t>
      </w:r>
    </w:p>
    <w:p w14:paraId="60E8A93D" w14:textId="3221922C" w:rsidR="00215B7B" w:rsidRPr="00A15598" w:rsidRDefault="00215B7B" w:rsidP="00215B7B">
      <w:pPr>
        <w:pStyle w:val="Sinespaciado"/>
        <w:rPr>
          <w:rFonts w:cstheme="minorHAnsi"/>
          <w:sz w:val="24"/>
          <w:szCs w:val="24"/>
        </w:rPr>
      </w:pPr>
      <w:r w:rsidRPr="00A15598">
        <w:rPr>
          <w:rFonts w:cstheme="minorHAnsi"/>
          <w:sz w:val="24"/>
          <w:szCs w:val="24"/>
        </w:rPr>
        <w:t>Representante a la Cámara por el Departamento de Nariño</w:t>
      </w:r>
    </w:p>
    <w:p w14:paraId="16A82E3A" w14:textId="4CF17E72" w:rsidR="00215B7B" w:rsidRPr="00A15598" w:rsidRDefault="00215B7B">
      <w:pPr>
        <w:rPr>
          <w:rFonts w:cstheme="minorHAnsi"/>
          <w:sz w:val="24"/>
          <w:szCs w:val="24"/>
        </w:rPr>
      </w:pPr>
      <w:r w:rsidRPr="00A15598">
        <w:rPr>
          <w:rFonts w:cstheme="minorHAnsi"/>
          <w:sz w:val="24"/>
          <w:szCs w:val="24"/>
        </w:rPr>
        <w:t>Partido Conservador Colombiano</w:t>
      </w:r>
    </w:p>
    <w:sectPr w:rsidR="00215B7B" w:rsidRPr="00A15598" w:rsidSect="00DC200A">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E946" w14:textId="77777777" w:rsidR="000B7658" w:rsidRDefault="000B7658" w:rsidP="00344381">
      <w:pPr>
        <w:spacing w:after="0" w:line="240" w:lineRule="auto"/>
      </w:pPr>
      <w:r>
        <w:separator/>
      </w:r>
    </w:p>
  </w:endnote>
  <w:endnote w:type="continuationSeparator" w:id="0">
    <w:p w14:paraId="7EB4F5F9" w14:textId="77777777" w:rsidR="000B7658" w:rsidRDefault="000B7658" w:rsidP="0034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97EB" w14:textId="77777777" w:rsidR="00142B6B" w:rsidRDefault="00142B6B" w:rsidP="0034438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B0C8" w14:textId="77777777" w:rsidR="000B7658" w:rsidRDefault="000B7658" w:rsidP="00344381">
      <w:pPr>
        <w:spacing w:after="0" w:line="240" w:lineRule="auto"/>
      </w:pPr>
      <w:r>
        <w:separator/>
      </w:r>
    </w:p>
  </w:footnote>
  <w:footnote w:type="continuationSeparator" w:id="0">
    <w:p w14:paraId="0F37571B" w14:textId="77777777" w:rsidR="000B7658" w:rsidRDefault="000B7658" w:rsidP="00344381">
      <w:pPr>
        <w:spacing w:after="0" w:line="240" w:lineRule="auto"/>
      </w:pPr>
      <w:r>
        <w:continuationSeparator/>
      </w:r>
    </w:p>
  </w:footnote>
  <w:footnote w:id="1">
    <w:p w14:paraId="055A7FB0" w14:textId="77777777" w:rsidR="00142B6B" w:rsidRDefault="00142B6B" w:rsidP="00344381">
      <w:pPr>
        <w:pStyle w:val="Textonotapie"/>
      </w:pPr>
      <w:r>
        <w:rPr>
          <w:rStyle w:val="Refdenotaalpie"/>
        </w:rPr>
        <w:footnoteRef/>
      </w:r>
      <w:r>
        <w:t xml:space="preserve"> Sentencia C-407 de 2019. M.P REYES CUARTAS, José Fernando</w:t>
      </w:r>
    </w:p>
  </w:footnote>
  <w:footnote w:id="2">
    <w:p w14:paraId="7BE14612" w14:textId="77777777" w:rsidR="00142B6B" w:rsidRPr="005856CB" w:rsidRDefault="00142B6B" w:rsidP="00344381">
      <w:pPr>
        <w:pStyle w:val="Textonotapie"/>
        <w:rPr>
          <w:rFonts w:cstheme="minorHAnsi"/>
          <w:lang w:val="es-MX"/>
        </w:rPr>
      </w:pPr>
      <w:r w:rsidRPr="005856CB">
        <w:rPr>
          <w:rStyle w:val="Refdenotaalpie"/>
        </w:rPr>
        <w:footnoteRef/>
      </w:r>
      <w:r w:rsidRPr="005856CB">
        <w:t xml:space="preserve"> </w:t>
      </w:r>
      <w:r w:rsidRPr="005856CB">
        <w:rPr>
          <w:rFonts w:cstheme="minorHAnsi"/>
          <w:lang w:val="es-MX"/>
        </w:rPr>
        <w:t>Ibid,</w:t>
      </w:r>
    </w:p>
  </w:footnote>
  <w:footnote w:id="3">
    <w:p w14:paraId="0C4A1727" w14:textId="77777777" w:rsidR="00142B6B" w:rsidRPr="005856CB" w:rsidRDefault="00142B6B" w:rsidP="00344381">
      <w:pPr>
        <w:pStyle w:val="Textonotapie"/>
        <w:rPr>
          <w:rFonts w:cstheme="minorHAnsi"/>
          <w:lang w:val="es-MX"/>
        </w:rPr>
      </w:pPr>
      <w:r w:rsidRPr="005856CB">
        <w:rPr>
          <w:rStyle w:val="Refdenotaalpie"/>
          <w:rFonts w:cstheme="minorHAnsi"/>
        </w:rPr>
        <w:footnoteRef/>
      </w:r>
      <w:r w:rsidRPr="005856CB">
        <w:rPr>
          <w:rFonts w:cstheme="minorHAnsi"/>
        </w:rPr>
        <w:t xml:space="preserve"> </w:t>
      </w:r>
      <w:r w:rsidRPr="005856CB">
        <w:rPr>
          <w:rFonts w:cstheme="minorHAnsi"/>
          <w:bCs/>
          <w:color w:val="000000"/>
          <w:shd w:val="clear" w:color="auto" w:fill="FFFFFF"/>
        </w:rPr>
        <w:t>Delitos sexuales en contra de menores de edad en Colombia: caracterización criminológica y político-</w:t>
      </w:r>
      <w:proofErr w:type="gramStart"/>
      <w:r w:rsidRPr="005856CB">
        <w:rPr>
          <w:rFonts w:cstheme="minorHAnsi"/>
          <w:bCs/>
          <w:color w:val="000000"/>
          <w:shd w:val="clear" w:color="auto" w:fill="FFFFFF"/>
        </w:rPr>
        <w:t>criminal.</w:t>
      </w:r>
      <w:r w:rsidRPr="005856CB">
        <w:rPr>
          <w:rFonts w:cstheme="minorHAnsi"/>
        </w:rPr>
        <w:t>http://www.scielo.org.co/scielo.php</w:t>
      </w:r>
      <w:proofErr w:type="gramEnd"/>
      <w:r w:rsidRPr="005856CB">
        <w:rPr>
          <w:rFonts w:cstheme="minorHAnsi"/>
        </w:rPr>
        <w:t>? script=sci_arttext&amp;pid=S1794-31082020000200247</w:t>
      </w:r>
    </w:p>
  </w:footnote>
  <w:footnote w:id="4">
    <w:p w14:paraId="1166FB54" w14:textId="77777777" w:rsidR="00142B6B" w:rsidRDefault="00142B6B" w:rsidP="00344381">
      <w:pPr>
        <w:pStyle w:val="Textonotapie"/>
      </w:pPr>
      <w:r w:rsidRPr="005856CB">
        <w:rPr>
          <w:rStyle w:val="Refdenotaalpie"/>
          <w:rFonts w:cstheme="minorHAnsi"/>
        </w:rPr>
        <w:footnoteRef/>
      </w:r>
      <w:r w:rsidRPr="005856CB">
        <w:rPr>
          <w:rFonts w:cstheme="minorHAnsi"/>
        </w:rPr>
        <w:t xml:space="preserve"> </w:t>
      </w:r>
      <w:r>
        <w:t xml:space="preserve">Forensis: Datos para la vida Instituto Nacional de Medicina Legal. INML (2018). Puede encontrarse en: </w:t>
      </w:r>
      <w:hyperlink r:id="rId1" w:history="1">
        <w:r w:rsidRPr="00AB7752">
          <w:rPr>
            <w:rStyle w:val="Hipervnculo"/>
          </w:rPr>
          <w:t>https://www.medicinalegal.gov.co/documents/20143/386932/Forensis+2018.pdf/be4816a4-3da3-1ff0-2779-e7b5e3962d60</w:t>
        </w:r>
      </w:hyperlink>
    </w:p>
    <w:p w14:paraId="36C475EC" w14:textId="77777777" w:rsidR="00142B6B" w:rsidRPr="005856CB" w:rsidRDefault="00142B6B" w:rsidP="00344381">
      <w:pPr>
        <w:pStyle w:val="Textonotapie"/>
        <w:rPr>
          <w:rFonts w:cstheme="minorHAnsi"/>
          <w:sz w:val="16"/>
          <w:szCs w:val="16"/>
        </w:rPr>
      </w:pPr>
    </w:p>
  </w:footnote>
  <w:footnote w:id="5">
    <w:p w14:paraId="29EC9F40" w14:textId="77777777" w:rsidR="00142B6B" w:rsidRPr="005856CB" w:rsidRDefault="00142B6B" w:rsidP="00344381">
      <w:pPr>
        <w:pStyle w:val="Textonotapie"/>
        <w:rPr>
          <w:lang w:val="es-MX"/>
        </w:rPr>
      </w:pPr>
      <w:r w:rsidRPr="005856CB">
        <w:rPr>
          <w:rStyle w:val="Refdenotaalpie"/>
        </w:rPr>
        <w:footnoteRef/>
      </w:r>
      <w:r w:rsidRPr="005856CB">
        <w:t xml:space="preserve"> </w:t>
      </w:r>
      <w:r w:rsidRPr="005856CB">
        <w:rPr>
          <w:rFonts w:cstheme="minorHAnsi"/>
        </w:rPr>
        <w:t xml:space="preserve">En </w:t>
      </w:r>
      <w:r w:rsidRPr="005856CB">
        <w:rPr>
          <w:rFonts w:cstheme="minorHAnsi"/>
          <w:bCs/>
          <w:color w:val="000000"/>
          <w:shd w:val="clear" w:color="auto" w:fill="FFFFFF"/>
        </w:rPr>
        <w:t>Delitos sexuales en contra de menores de edad en Colombia, OB.CIT</w:t>
      </w:r>
    </w:p>
  </w:footnote>
  <w:footnote w:id="6">
    <w:p w14:paraId="75A61CC9" w14:textId="77777777" w:rsidR="00142B6B" w:rsidRPr="005856CB" w:rsidRDefault="00142B6B" w:rsidP="00344381">
      <w:pPr>
        <w:pStyle w:val="Textonotapie"/>
        <w:rPr>
          <w:lang w:val="es-MX"/>
        </w:rPr>
      </w:pPr>
      <w:r w:rsidRPr="005856CB">
        <w:rPr>
          <w:rStyle w:val="Refdenotaalpie"/>
          <w:rFonts w:cstheme="minorHAnsi"/>
        </w:rPr>
        <w:footnoteRef/>
      </w:r>
      <w:r w:rsidRPr="005856CB">
        <w:rPr>
          <w:rFonts w:cstheme="minorHAnsi"/>
        </w:rPr>
        <w:t xml:space="preserve"> </w:t>
      </w:r>
      <w:r w:rsidRPr="005856CB">
        <w:rPr>
          <w:rFonts w:cstheme="minorHAnsi"/>
          <w:lang w:val="es-MX"/>
        </w:rPr>
        <w:t>T-512,2016. M.P. VARGAS SILVA, Luis Ernesto</w:t>
      </w:r>
    </w:p>
  </w:footnote>
  <w:footnote w:id="7">
    <w:p w14:paraId="00AB3040" w14:textId="77777777" w:rsidR="00142B6B" w:rsidRPr="005856CB" w:rsidRDefault="00142B6B" w:rsidP="00344381">
      <w:pPr>
        <w:pStyle w:val="Textonotapie"/>
        <w:rPr>
          <w:lang w:val="es-MX"/>
        </w:rPr>
      </w:pPr>
      <w:r>
        <w:rPr>
          <w:rStyle w:val="Refdenotaalpie"/>
        </w:rPr>
        <w:footnoteRef/>
      </w:r>
      <w:r>
        <w:t xml:space="preserve"> </w:t>
      </w:r>
      <w:r>
        <w:rPr>
          <w:lang w:val="es-MX"/>
        </w:rPr>
        <w:t>En Delitos sexuales en contra de menores de edad. OB.CIT</w:t>
      </w:r>
    </w:p>
  </w:footnote>
  <w:footnote w:id="8">
    <w:p w14:paraId="4266CA03" w14:textId="77777777" w:rsidR="00142B6B" w:rsidRPr="005856CB" w:rsidRDefault="00142B6B" w:rsidP="00344381">
      <w:pPr>
        <w:pStyle w:val="Textonotapie"/>
        <w:rPr>
          <w:lang w:val="es-MX"/>
        </w:rPr>
      </w:pPr>
      <w:r>
        <w:rPr>
          <w:rStyle w:val="Refdenotaalpie"/>
        </w:rPr>
        <w:footnoteRef/>
      </w:r>
      <w:r>
        <w:t xml:space="preserve"> </w:t>
      </w:r>
      <w:r>
        <w:rPr>
          <w:lang w:val="es-MX"/>
        </w:rPr>
        <w:t>SU-458-2012, ARANGO GUILLEN, Adriana María</w:t>
      </w:r>
    </w:p>
  </w:footnote>
  <w:footnote w:id="9">
    <w:p w14:paraId="7C60A8DC" w14:textId="77777777" w:rsidR="00142B6B" w:rsidRPr="002B60D6" w:rsidRDefault="00142B6B" w:rsidP="002B60D6">
      <w:pPr>
        <w:pStyle w:val="Textonotapie"/>
      </w:pPr>
      <w:r>
        <w:rPr>
          <w:rStyle w:val="Refdenotaalpie"/>
        </w:rPr>
        <w:footnoteRef/>
      </w:r>
      <w:r>
        <w:t xml:space="preserve"> COLOMBIA, Gaceta del Congreso 1004 - 2019. INPEC. Valores consolidados a 8 de agosto de 2019.puede encontrarse en </w:t>
      </w:r>
      <w:hyperlink r:id="rId2" w:history="1">
        <w:r w:rsidRPr="00AB7752">
          <w:rPr>
            <w:rStyle w:val="Hipervnculo"/>
          </w:rPr>
          <w:t>http://www.secretariasenado.gov.co/legibus/legibus/gacetas/2019/GC_1004_2019.pdf</w:t>
        </w:r>
      </w:hyperlink>
    </w:p>
  </w:footnote>
  <w:footnote w:id="10">
    <w:p w14:paraId="233AE813" w14:textId="77777777" w:rsidR="00142B6B" w:rsidRPr="005856CB" w:rsidRDefault="00142B6B" w:rsidP="00344381">
      <w:pPr>
        <w:pStyle w:val="Textonotapie"/>
        <w:rPr>
          <w:lang w:val="es-MX"/>
        </w:rPr>
      </w:pPr>
      <w:r>
        <w:rPr>
          <w:rStyle w:val="Refdenotaalpie"/>
        </w:rPr>
        <w:footnoteRef/>
      </w:r>
      <w:r>
        <w:t xml:space="preserve"> </w:t>
      </w:r>
      <w:r w:rsidRPr="005856CB">
        <w:rPr>
          <w:rFonts w:cstheme="minorHAnsi"/>
        </w:rPr>
        <w:t>Forensis: datos para vida Instituto Nacional de Medicina Legal INML (2018)</w:t>
      </w:r>
      <w:r>
        <w:rPr>
          <w:rFonts w:cstheme="minorHAnsi"/>
        </w:rPr>
        <w:t>. OB.CIT</w:t>
      </w:r>
    </w:p>
  </w:footnote>
  <w:footnote w:id="11">
    <w:p w14:paraId="25E5E6F6" w14:textId="77777777" w:rsidR="00142B6B" w:rsidRPr="005856CB" w:rsidRDefault="00142B6B" w:rsidP="00344381">
      <w:pPr>
        <w:pStyle w:val="Textonotapie"/>
        <w:rPr>
          <w:lang w:val="es-MX"/>
        </w:rPr>
      </w:pPr>
      <w:r>
        <w:rPr>
          <w:rStyle w:val="Refdenotaalpie"/>
        </w:rPr>
        <w:footnoteRef/>
      </w:r>
      <w:r>
        <w:t xml:space="preserve"> </w:t>
      </w:r>
      <w:r>
        <w:rPr>
          <w:lang w:val="es-MX"/>
        </w:rPr>
        <w:t>Ibid</w:t>
      </w:r>
    </w:p>
  </w:footnote>
  <w:footnote w:id="12">
    <w:p w14:paraId="7FDA3ED5" w14:textId="77777777" w:rsidR="00142B6B" w:rsidRPr="00403B2F" w:rsidRDefault="00142B6B" w:rsidP="00344381">
      <w:pPr>
        <w:pStyle w:val="Textonotapie"/>
        <w:rPr>
          <w:lang w:val="es-MX"/>
        </w:rPr>
      </w:pPr>
      <w:r>
        <w:rPr>
          <w:rStyle w:val="Refdenotaalpie"/>
        </w:rPr>
        <w:footnoteRef/>
      </w:r>
      <w:r>
        <w:t xml:space="preserve"> Tomado de informe elaborado por la Biblioteca del Congreso Nacional de Chile, para la Comisión de Constitución, Legislación y Justicia de la Cámara de Diputados, en el marco de la discusión del proyecto de ley que establece un registro público de condenados por delitos de abusos sexuales cometidos contra menores de edad, Boletín 3234-07, en julio de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B8CD" w14:textId="77777777" w:rsidR="00142B6B" w:rsidRPr="003F7207" w:rsidRDefault="00142B6B" w:rsidP="00344381">
    <w:pPr>
      <w:tabs>
        <w:tab w:val="left" w:pos="405"/>
        <w:tab w:val="center" w:pos="4252"/>
        <w:tab w:val="right" w:pos="8504"/>
      </w:tabs>
      <w:rPr>
        <w:rFonts w:ascii="Times New Roman" w:eastAsia="Times New Roman" w:hAnsi="Times New Roman" w:cs="Times New Roman"/>
        <w:sz w:val="16"/>
        <w:szCs w:val="16"/>
        <w:lang w:val="es-ES" w:eastAsia="es-ES"/>
      </w:rPr>
    </w:pPr>
    <w:r>
      <w:rPr>
        <w:rFonts w:ascii="Times New Roman" w:eastAsia="Times New Roman" w:hAnsi="Times New Roman" w:cs="Times New Roman"/>
        <w:noProof/>
        <w:sz w:val="16"/>
        <w:szCs w:val="16"/>
        <w:lang w:eastAsia="es-CO"/>
      </w:rPr>
      <w:t xml:space="preserve">  </w:t>
    </w:r>
    <w:bookmarkStart w:id="18" w:name="_Hlk58996926"/>
    <w:r>
      <w:rPr>
        <w:rFonts w:ascii="Times New Roman" w:eastAsia="Times New Roman" w:hAnsi="Times New Roman" w:cs="Times New Roman"/>
        <w:noProof/>
        <w:sz w:val="16"/>
        <w:szCs w:val="16"/>
        <w:lang w:eastAsia="es-CO"/>
      </w:rPr>
      <w:tab/>
    </w:r>
    <w:r>
      <w:rPr>
        <w:rFonts w:ascii="Times New Roman" w:eastAsia="Times New Roman" w:hAnsi="Times New Roman" w:cs="Times New Roman"/>
        <w:noProof/>
        <w:sz w:val="16"/>
        <w:szCs w:val="16"/>
        <w:lang w:eastAsia="es-CO"/>
      </w:rPr>
      <w:tab/>
      <w:t xml:space="preserve">   </w:t>
    </w:r>
    <w:r w:rsidRPr="003F7207">
      <w:rPr>
        <w:rFonts w:ascii="Times New Roman" w:eastAsia="Times New Roman" w:hAnsi="Times New Roman" w:cs="Times New Roman"/>
        <w:noProof/>
        <w:sz w:val="16"/>
        <w:szCs w:val="16"/>
        <w:lang w:eastAsia="es-CO"/>
      </w:rPr>
      <w:t xml:space="preserve"> </w:t>
    </w:r>
  </w:p>
  <w:bookmarkEnd w:id="18"/>
  <w:p w14:paraId="453D36C3" w14:textId="77777777" w:rsidR="00142B6B" w:rsidRPr="00E33B32" w:rsidRDefault="00142B6B" w:rsidP="003443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51D"/>
    <w:multiLevelType w:val="hybridMultilevel"/>
    <w:tmpl w:val="48AC48B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7D22"/>
    <w:multiLevelType w:val="multilevel"/>
    <w:tmpl w:val="80465C22"/>
    <w:lvl w:ilvl="0">
      <w:start w:val="1"/>
      <w:numFmt w:val="decimal"/>
      <w:lvlText w:val="%1."/>
      <w:lvlJc w:val="left"/>
      <w:pPr>
        <w:ind w:left="360" w:hanging="360"/>
      </w:pPr>
      <w:rPr>
        <w:rFonts w:hint="default"/>
        <w:lang w:val="es-C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3713C1"/>
    <w:multiLevelType w:val="hybridMultilevel"/>
    <w:tmpl w:val="0A7691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447DBC"/>
    <w:multiLevelType w:val="hybridMultilevel"/>
    <w:tmpl w:val="2EFA9B1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C26097"/>
    <w:multiLevelType w:val="multilevel"/>
    <w:tmpl w:val="84AAD3B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D9061DC"/>
    <w:multiLevelType w:val="hybridMultilevel"/>
    <w:tmpl w:val="C130C8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996F0E"/>
    <w:multiLevelType w:val="hybridMultilevel"/>
    <w:tmpl w:val="E2FEB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103A6E"/>
    <w:multiLevelType w:val="multilevel"/>
    <w:tmpl w:val="768A10F2"/>
    <w:lvl w:ilvl="0">
      <w:start w:val="4"/>
      <w:numFmt w:val="decimal"/>
      <w:lvlText w:val="%1"/>
      <w:lvlJc w:val="left"/>
      <w:pPr>
        <w:ind w:left="360" w:hanging="360"/>
      </w:pPr>
      <w:rPr>
        <w:rFonts w:ascii="MS Gothic" w:eastAsia="MS Gothic" w:hAnsi="MS Gothic" w:cs="MS Gothic" w:hint="default"/>
      </w:rPr>
    </w:lvl>
    <w:lvl w:ilvl="1">
      <w:start w:val="3"/>
      <w:numFmt w:val="decimal"/>
      <w:lvlText w:val="%1.%2"/>
      <w:lvlJc w:val="left"/>
      <w:pPr>
        <w:ind w:left="1080" w:hanging="360"/>
      </w:pPr>
      <w:rPr>
        <w:rFonts w:asciiTheme="minorHAnsi" w:eastAsia="MS Gothic" w:hAnsiTheme="minorHAnsi" w:cs="MS Gothic" w:hint="default"/>
      </w:rPr>
    </w:lvl>
    <w:lvl w:ilvl="2">
      <w:start w:val="1"/>
      <w:numFmt w:val="decimal"/>
      <w:lvlText w:val="%1.%2.%3"/>
      <w:lvlJc w:val="left"/>
      <w:pPr>
        <w:ind w:left="2160" w:hanging="720"/>
      </w:pPr>
      <w:rPr>
        <w:rFonts w:ascii="MS Gothic" w:eastAsia="MS Gothic" w:hAnsi="MS Gothic" w:cs="MS Gothic" w:hint="default"/>
      </w:rPr>
    </w:lvl>
    <w:lvl w:ilvl="3">
      <w:start w:val="1"/>
      <w:numFmt w:val="decimal"/>
      <w:lvlText w:val="%1.%2.%3.%4"/>
      <w:lvlJc w:val="left"/>
      <w:pPr>
        <w:ind w:left="2880" w:hanging="720"/>
      </w:pPr>
      <w:rPr>
        <w:rFonts w:ascii="MS Gothic" w:eastAsia="MS Gothic" w:hAnsi="MS Gothic" w:cs="MS Gothic" w:hint="default"/>
      </w:rPr>
    </w:lvl>
    <w:lvl w:ilvl="4">
      <w:start w:val="1"/>
      <w:numFmt w:val="decimal"/>
      <w:lvlText w:val="%1.%2.%3.%4.%5"/>
      <w:lvlJc w:val="left"/>
      <w:pPr>
        <w:ind w:left="3960" w:hanging="1080"/>
      </w:pPr>
      <w:rPr>
        <w:rFonts w:ascii="MS Gothic" w:eastAsia="MS Gothic" w:hAnsi="MS Gothic" w:cs="MS Gothic" w:hint="default"/>
      </w:rPr>
    </w:lvl>
    <w:lvl w:ilvl="5">
      <w:start w:val="1"/>
      <w:numFmt w:val="decimal"/>
      <w:lvlText w:val="%1.%2.%3.%4.%5.%6"/>
      <w:lvlJc w:val="left"/>
      <w:pPr>
        <w:ind w:left="4680" w:hanging="1080"/>
      </w:pPr>
      <w:rPr>
        <w:rFonts w:ascii="MS Gothic" w:eastAsia="MS Gothic" w:hAnsi="MS Gothic" w:cs="MS Gothic" w:hint="default"/>
      </w:rPr>
    </w:lvl>
    <w:lvl w:ilvl="6">
      <w:start w:val="1"/>
      <w:numFmt w:val="decimal"/>
      <w:lvlText w:val="%1.%2.%3.%4.%5.%6.%7"/>
      <w:lvlJc w:val="left"/>
      <w:pPr>
        <w:ind w:left="5760" w:hanging="1440"/>
      </w:pPr>
      <w:rPr>
        <w:rFonts w:ascii="MS Gothic" w:eastAsia="MS Gothic" w:hAnsi="MS Gothic" w:cs="MS Gothic" w:hint="default"/>
      </w:rPr>
    </w:lvl>
    <w:lvl w:ilvl="7">
      <w:start w:val="1"/>
      <w:numFmt w:val="decimal"/>
      <w:lvlText w:val="%1.%2.%3.%4.%5.%6.%7.%8"/>
      <w:lvlJc w:val="left"/>
      <w:pPr>
        <w:ind w:left="6480" w:hanging="1440"/>
      </w:pPr>
      <w:rPr>
        <w:rFonts w:ascii="MS Gothic" w:eastAsia="MS Gothic" w:hAnsi="MS Gothic" w:cs="MS Gothic" w:hint="default"/>
      </w:rPr>
    </w:lvl>
    <w:lvl w:ilvl="8">
      <w:start w:val="1"/>
      <w:numFmt w:val="decimal"/>
      <w:lvlText w:val="%1.%2.%3.%4.%5.%6.%7.%8.%9"/>
      <w:lvlJc w:val="left"/>
      <w:pPr>
        <w:ind w:left="7200" w:hanging="1440"/>
      </w:pPr>
      <w:rPr>
        <w:rFonts w:ascii="MS Gothic" w:eastAsia="MS Gothic" w:hAnsi="MS Gothic" w:cs="MS Gothic" w:hint="default"/>
      </w:rPr>
    </w:lvl>
  </w:abstractNum>
  <w:abstractNum w:abstractNumId="8" w15:restartNumberingAfterBreak="0">
    <w:nsid w:val="2C2072AC"/>
    <w:multiLevelType w:val="hybridMultilevel"/>
    <w:tmpl w:val="521A2946"/>
    <w:lvl w:ilvl="0" w:tplc="C14AB05E">
      <w:start w:val="1"/>
      <w:numFmt w:val="decimal"/>
      <w:lvlText w:val="%1."/>
      <w:lvlJc w:val="left"/>
      <w:pPr>
        <w:ind w:left="644" w:hanging="360"/>
      </w:pPr>
      <w:rPr>
        <w:rFonts w:ascii="Times New Roman" w:hAnsi="Times New Roman" w:cs="Times New Roman" w:hint="default"/>
        <w:i w:val="0"/>
        <w:sz w:val="28"/>
        <w:szCs w:val="28"/>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9" w15:restartNumberingAfterBreak="0">
    <w:nsid w:val="3022506C"/>
    <w:multiLevelType w:val="hybridMultilevel"/>
    <w:tmpl w:val="B9A467EC"/>
    <w:lvl w:ilvl="0" w:tplc="D4242736">
      <w:start w:val="6"/>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4BEB3D5F"/>
    <w:multiLevelType w:val="hybridMultilevel"/>
    <w:tmpl w:val="3956E5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0B7986"/>
    <w:multiLevelType w:val="hybridMultilevel"/>
    <w:tmpl w:val="9E687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11C5C4C"/>
    <w:multiLevelType w:val="hybridMultilevel"/>
    <w:tmpl w:val="4F12CEB6"/>
    <w:lvl w:ilvl="0" w:tplc="484298CC">
      <w:start w:val="4"/>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B76BDC"/>
    <w:multiLevelType w:val="hybridMultilevel"/>
    <w:tmpl w:val="2A580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3E269EB"/>
    <w:multiLevelType w:val="hybridMultilevel"/>
    <w:tmpl w:val="C130C8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521B49"/>
    <w:multiLevelType w:val="hybridMultilevel"/>
    <w:tmpl w:val="8A00A604"/>
    <w:lvl w:ilvl="0" w:tplc="E6249714">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EBE2340"/>
    <w:multiLevelType w:val="hybridMultilevel"/>
    <w:tmpl w:val="30F22706"/>
    <w:lvl w:ilvl="0" w:tplc="76EA8E1E">
      <w:start w:val="1"/>
      <w:numFmt w:val="decimal"/>
      <w:lvlText w:val="%1."/>
      <w:lvlJc w:val="left"/>
      <w:pPr>
        <w:ind w:left="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EE14A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7A03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48B8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325D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6EE8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E029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8EE2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65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5"/>
  </w:num>
  <w:num w:numId="3">
    <w:abstractNumId w:val="0"/>
  </w:num>
  <w:num w:numId="4">
    <w:abstractNumId w:val="2"/>
  </w:num>
  <w:num w:numId="5">
    <w:abstractNumId w:val="7"/>
  </w:num>
  <w:num w:numId="6">
    <w:abstractNumId w:val="13"/>
  </w:num>
  <w:num w:numId="7">
    <w:abstractNumId w:val="8"/>
  </w:num>
  <w:num w:numId="8">
    <w:abstractNumId w:val="6"/>
  </w:num>
  <w:num w:numId="9">
    <w:abstractNumId w:val="11"/>
  </w:num>
  <w:num w:numId="10">
    <w:abstractNumId w:val="4"/>
  </w:num>
  <w:num w:numId="11">
    <w:abstractNumId w:val="3"/>
  </w:num>
  <w:num w:numId="12">
    <w:abstractNumId w:val="9"/>
  </w:num>
  <w:num w:numId="13">
    <w:abstractNumId w:val="16"/>
  </w:num>
  <w:num w:numId="14">
    <w:abstractNumId w:val="12"/>
  </w:num>
  <w:num w:numId="15">
    <w:abstractNumId w:val="14"/>
  </w:num>
  <w:num w:numId="16">
    <w:abstractNumId w:val="5"/>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81"/>
    <w:rsid w:val="0004136D"/>
    <w:rsid w:val="00063253"/>
    <w:rsid w:val="000A50C8"/>
    <w:rsid w:val="000B7658"/>
    <w:rsid w:val="000C6650"/>
    <w:rsid w:val="000C7F0C"/>
    <w:rsid w:val="000F24D9"/>
    <w:rsid w:val="00121ED3"/>
    <w:rsid w:val="00137566"/>
    <w:rsid w:val="00142B6B"/>
    <w:rsid w:val="00161880"/>
    <w:rsid w:val="0017344F"/>
    <w:rsid w:val="001E3A60"/>
    <w:rsid w:val="00215B7B"/>
    <w:rsid w:val="002561E4"/>
    <w:rsid w:val="002B60D6"/>
    <w:rsid w:val="003435A4"/>
    <w:rsid w:val="00344381"/>
    <w:rsid w:val="00391646"/>
    <w:rsid w:val="00393089"/>
    <w:rsid w:val="003B32AF"/>
    <w:rsid w:val="003F4CCB"/>
    <w:rsid w:val="00441599"/>
    <w:rsid w:val="00443CDB"/>
    <w:rsid w:val="00467A9B"/>
    <w:rsid w:val="004A776D"/>
    <w:rsid w:val="00511F49"/>
    <w:rsid w:val="00526EAE"/>
    <w:rsid w:val="005313B1"/>
    <w:rsid w:val="00584192"/>
    <w:rsid w:val="005C0299"/>
    <w:rsid w:val="005E4767"/>
    <w:rsid w:val="00602F99"/>
    <w:rsid w:val="0064562D"/>
    <w:rsid w:val="006D53BD"/>
    <w:rsid w:val="006F64E3"/>
    <w:rsid w:val="007073C2"/>
    <w:rsid w:val="0071517B"/>
    <w:rsid w:val="00772DB2"/>
    <w:rsid w:val="007B5862"/>
    <w:rsid w:val="007C3ABB"/>
    <w:rsid w:val="007F76F2"/>
    <w:rsid w:val="008401EF"/>
    <w:rsid w:val="008A7629"/>
    <w:rsid w:val="00906CF5"/>
    <w:rsid w:val="00971884"/>
    <w:rsid w:val="009752CB"/>
    <w:rsid w:val="00994F56"/>
    <w:rsid w:val="009A79F2"/>
    <w:rsid w:val="009D3969"/>
    <w:rsid w:val="00A15598"/>
    <w:rsid w:val="00A51A60"/>
    <w:rsid w:val="00A652FF"/>
    <w:rsid w:val="00A82A69"/>
    <w:rsid w:val="00AB32BF"/>
    <w:rsid w:val="00AC31CB"/>
    <w:rsid w:val="00AC7323"/>
    <w:rsid w:val="00AD0D68"/>
    <w:rsid w:val="00AE0E0E"/>
    <w:rsid w:val="00AE719E"/>
    <w:rsid w:val="00B64D71"/>
    <w:rsid w:val="00BE1861"/>
    <w:rsid w:val="00BF296B"/>
    <w:rsid w:val="00C11831"/>
    <w:rsid w:val="00D33B90"/>
    <w:rsid w:val="00D47C90"/>
    <w:rsid w:val="00D60436"/>
    <w:rsid w:val="00D862EB"/>
    <w:rsid w:val="00DC200A"/>
    <w:rsid w:val="00DF17C5"/>
    <w:rsid w:val="00E3085C"/>
    <w:rsid w:val="00E35341"/>
    <w:rsid w:val="00F039F5"/>
    <w:rsid w:val="00FF17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3C58"/>
  <w15:chartTrackingRefBased/>
  <w15:docId w15:val="{29A80AE0-4C24-41B4-BF65-FA6D9710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8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44381"/>
    <w:pPr>
      <w:ind w:left="720"/>
      <w:contextualSpacing/>
    </w:pPr>
    <w:rPr>
      <w:lang w:val="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referenc,ft,Ref. de nota al pie2,FC"/>
    <w:basedOn w:val="Normal"/>
    <w:link w:val="TextonotapieCar"/>
    <w:uiPriority w:val="99"/>
    <w:unhideWhenUsed/>
    <w:qFormat/>
    <w:rsid w:val="00344381"/>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ft Car"/>
    <w:basedOn w:val="Fuentedeprrafopredeter"/>
    <w:link w:val="Textonotapie"/>
    <w:uiPriority w:val="99"/>
    <w:rsid w:val="00344381"/>
    <w:rPr>
      <w:sz w:val="20"/>
      <w:szCs w:val="20"/>
    </w:rPr>
  </w:style>
  <w:style w:type="character" w:styleId="Refdenotaalpie">
    <w:name w:val="footnote reference"/>
    <w:aliases w:val="Footnotes refss,Texto de nota al pie,referencia nota al pie,Ref,de nota al pie,Ref1,Appel note de bas de page,Footnote number,BVI fnr,f,Ref. de nota al pie 2,Fago Fußnotenzeichen,4_G,16 Point,Superscript 6 Point,Texto nota al pie,R"/>
    <w:basedOn w:val="Fuentedeprrafopredeter"/>
    <w:link w:val="Piedepagina"/>
    <w:uiPriority w:val="99"/>
    <w:unhideWhenUsed/>
    <w:qFormat/>
    <w:rsid w:val="00344381"/>
    <w:rPr>
      <w:vertAlign w:val="superscript"/>
    </w:rPr>
  </w:style>
  <w:style w:type="character" w:customStyle="1" w:styleId="PrrafodelistaCar">
    <w:name w:val="Párrafo de lista Car"/>
    <w:link w:val="Prrafodelista"/>
    <w:uiPriority w:val="34"/>
    <w:locked/>
    <w:rsid w:val="00344381"/>
    <w:rPr>
      <w:lang w:val="es-ES"/>
    </w:rPr>
  </w:style>
  <w:style w:type="character" w:styleId="Hipervnculo">
    <w:name w:val="Hyperlink"/>
    <w:basedOn w:val="Fuentedeprrafopredeter"/>
    <w:uiPriority w:val="99"/>
    <w:unhideWhenUsed/>
    <w:rsid w:val="00344381"/>
    <w:rPr>
      <w:color w:val="0563C1" w:themeColor="hyperlink"/>
      <w:u w:val="single"/>
    </w:rPr>
  </w:style>
  <w:style w:type="character" w:customStyle="1" w:styleId="label">
    <w:name w:val="label"/>
    <w:basedOn w:val="Fuentedeprrafopredeter"/>
    <w:rsid w:val="00344381"/>
  </w:style>
  <w:style w:type="character" w:customStyle="1" w:styleId="Descripcin1">
    <w:name w:val="Descripción1"/>
    <w:basedOn w:val="Fuentedeprrafopredeter"/>
    <w:rsid w:val="00344381"/>
  </w:style>
  <w:style w:type="paragraph" w:styleId="Encabezado">
    <w:name w:val="header"/>
    <w:basedOn w:val="Normal"/>
    <w:link w:val="EncabezadoCar"/>
    <w:uiPriority w:val="99"/>
    <w:unhideWhenUsed/>
    <w:rsid w:val="003443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381"/>
  </w:style>
  <w:style w:type="paragraph" w:styleId="Piedepgina">
    <w:name w:val="footer"/>
    <w:basedOn w:val="Normal"/>
    <w:link w:val="PiedepginaCar"/>
    <w:uiPriority w:val="99"/>
    <w:unhideWhenUsed/>
    <w:rsid w:val="003443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381"/>
  </w:style>
  <w:style w:type="table" w:styleId="Tablaconcuadrcula">
    <w:name w:val="Table Grid"/>
    <w:basedOn w:val="Tablanormal"/>
    <w:uiPriority w:val="59"/>
    <w:rsid w:val="0034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pagina">
    <w:name w:val="Pie de pagina"/>
    <w:basedOn w:val="Normal"/>
    <w:link w:val="Refdenotaalpie"/>
    <w:uiPriority w:val="99"/>
    <w:rsid w:val="00344381"/>
    <w:pPr>
      <w:spacing w:after="160" w:line="240" w:lineRule="exact"/>
    </w:pPr>
    <w:rPr>
      <w:vertAlign w:val="superscript"/>
    </w:rPr>
  </w:style>
  <w:style w:type="paragraph" w:styleId="Textodeglobo">
    <w:name w:val="Balloon Text"/>
    <w:basedOn w:val="Normal"/>
    <w:link w:val="TextodegloboCar"/>
    <w:uiPriority w:val="99"/>
    <w:semiHidden/>
    <w:unhideWhenUsed/>
    <w:rsid w:val="003443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381"/>
    <w:rPr>
      <w:rFonts w:ascii="Tahoma" w:hAnsi="Tahoma" w:cs="Tahoma"/>
      <w:sz w:val="16"/>
      <w:szCs w:val="16"/>
    </w:rPr>
  </w:style>
  <w:style w:type="paragraph" w:styleId="Sinespaciado">
    <w:name w:val="No Spacing"/>
    <w:uiPriority w:val="1"/>
    <w:qFormat/>
    <w:rsid w:val="00215B7B"/>
    <w:pPr>
      <w:spacing w:after="0" w:line="240" w:lineRule="auto"/>
    </w:pPr>
  </w:style>
  <w:style w:type="paragraph" w:styleId="Revisin">
    <w:name w:val="Revision"/>
    <w:hidden/>
    <w:uiPriority w:val="99"/>
    <w:semiHidden/>
    <w:rsid w:val="00602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169">
      <w:bodyDiv w:val="1"/>
      <w:marLeft w:val="0"/>
      <w:marRight w:val="0"/>
      <w:marTop w:val="0"/>
      <w:marBottom w:val="0"/>
      <w:divBdr>
        <w:top w:val="none" w:sz="0" w:space="0" w:color="auto"/>
        <w:left w:val="none" w:sz="0" w:space="0" w:color="auto"/>
        <w:bottom w:val="none" w:sz="0" w:space="0" w:color="auto"/>
        <w:right w:val="none" w:sz="0" w:space="0" w:color="auto"/>
      </w:divBdr>
    </w:div>
    <w:div w:id="87502225">
      <w:bodyDiv w:val="1"/>
      <w:marLeft w:val="0"/>
      <w:marRight w:val="0"/>
      <w:marTop w:val="0"/>
      <w:marBottom w:val="0"/>
      <w:divBdr>
        <w:top w:val="none" w:sz="0" w:space="0" w:color="auto"/>
        <w:left w:val="none" w:sz="0" w:space="0" w:color="auto"/>
        <w:bottom w:val="none" w:sz="0" w:space="0" w:color="auto"/>
        <w:right w:val="none" w:sz="0" w:space="0" w:color="auto"/>
      </w:divBdr>
    </w:div>
    <w:div w:id="447286592">
      <w:bodyDiv w:val="1"/>
      <w:marLeft w:val="0"/>
      <w:marRight w:val="0"/>
      <w:marTop w:val="0"/>
      <w:marBottom w:val="0"/>
      <w:divBdr>
        <w:top w:val="none" w:sz="0" w:space="0" w:color="auto"/>
        <w:left w:val="none" w:sz="0" w:space="0" w:color="auto"/>
        <w:bottom w:val="none" w:sz="0" w:space="0" w:color="auto"/>
        <w:right w:val="none" w:sz="0" w:space="0" w:color="auto"/>
      </w:divBdr>
    </w:div>
    <w:div w:id="811754706">
      <w:bodyDiv w:val="1"/>
      <w:marLeft w:val="0"/>
      <w:marRight w:val="0"/>
      <w:marTop w:val="0"/>
      <w:marBottom w:val="0"/>
      <w:divBdr>
        <w:top w:val="none" w:sz="0" w:space="0" w:color="auto"/>
        <w:left w:val="none" w:sz="0" w:space="0" w:color="auto"/>
        <w:bottom w:val="none" w:sz="0" w:space="0" w:color="auto"/>
        <w:right w:val="none" w:sz="0" w:space="0" w:color="auto"/>
      </w:divBdr>
    </w:div>
    <w:div w:id="895698552">
      <w:bodyDiv w:val="1"/>
      <w:marLeft w:val="0"/>
      <w:marRight w:val="0"/>
      <w:marTop w:val="0"/>
      <w:marBottom w:val="0"/>
      <w:divBdr>
        <w:top w:val="none" w:sz="0" w:space="0" w:color="auto"/>
        <w:left w:val="none" w:sz="0" w:space="0" w:color="auto"/>
        <w:bottom w:val="none" w:sz="0" w:space="0" w:color="auto"/>
        <w:right w:val="none" w:sz="0" w:space="0" w:color="auto"/>
      </w:divBdr>
    </w:div>
    <w:div w:id="922643012">
      <w:bodyDiv w:val="1"/>
      <w:marLeft w:val="0"/>
      <w:marRight w:val="0"/>
      <w:marTop w:val="0"/>
      <w:marBottom w:val="0"/>
      <w:divBdr>
        <w:top w:val="none" w:sz="0" w:space="0" w:color="auto"/>
        <w:left w:val="none" w:sz="0" w:space="0" w:color="auto"/>
        <w:bottom w:val="none" w:sz="0" w:space="0" w:color="auto"/>
        <w:right w:val="none" w:sz="0" w:space="0" w:color="auto"/>
      </w:divBdr>
      <w:divsChild>
        <w:div w:id="2123915088">
          <w:marLeft w:val="0"/>
          <w:marRight w:val="0"/>
          <w:marTop w:val="0"/>
          <w:marBottom w:val="0"/>
          <w:divBdr>
            <w:top w:val="none" w:sz="0" w:space="0" w:color="auto"/>
            <w:left w:val="none" w:sz="0" w:space="0" w:color="auto"/>
            <w:bottom w:val="none" w:sz="0" w:space="0" w:color="auto"/>
            <w:right w:val="none" w:sz="0" w:space="0" w:color="auto"/>
          </w:divBdr>
          <w:divsChild>
            <w:div w:id="448360421">
              <w:marLeft w:val="0"/>
              <w:marRight w:val="0"/>
              <w:marTop w:val="45"/>
              <w:marBottom w:val="30"/>
              <w:divBdr>
                <w:top w:val="none" w:sz="0" w:space="0" w:color="auto"/>
                <w:left w:val="none" w:sz="0" w:space="0" w:color="auto"/>
                <w:bottom w:val="none" w:sz="0" w:space="0" w:color="auto"/>
                <w:right w:val="none" w:sz="0" w:space="0" w:color="auto"/>
              </w:divBdr>
            </w:div>
            <w:div w:id="1705475327">
              <w:marLeft w:val="0"/>
              <w:marRight w:val="0"/>
              <w:marTop w:val="0"/>
              <w:marBottom w:val="0"/>
              <w:divBdr>
                <w:top w:val="none" w:sz="0" w:space="0" w:color="auto"/>
                <w:left w:val="none" w:sz="0" w:space="0" w:color="auto"/>
                <w:bottom w:val="none" w:sz="0" w:space="0" w:color="auto"/>
                <w:right w:val="none" w:sz="0" w:space="0" w:color="auto"/>
              </w:divBdr>
              <w:divsChild>
                <w:div w:id="12089538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34560603">
      <w:bodyDiv w:val="1"/>
      <w:marLeft w:val="0"/>
      <w:marRight w:val="0"/>
      <w:marTop w:val="0"/>
      <w:marBottom w:val="0"/>
      <w:divBdr>
        <w:top w:val="none" w:sz="0" w:space="0" w:color="auto"/>
        <w:left w:val="none" w:sz="0" w:space="0" w:color="auto"/>
        <w:bottom w:val="none" w:sz="0" w:space="0" w:color="auto"/>
        <w:right w:val="none" w:sz="0" w:space="0" w:color="auto"/>
      </w:divBdr>
    </w:div>
    <w:div w:id="938104580">
      <w:bodyDiv w:val="1"/>
      <w:marLeft w:val="0"/>
      <w:marRight w:val="0"/>
      <w:marTop w:val="0"/>
      <w:marBottom w:val="0"/>
      <w:divBdr>
        <w:top w:val="none" w:sz="0" w:space="0" w:color="auto"/>
        <w:left w:val="none" w:sz="0" w:space="0" w:color="auto"/>
        <w:bottom w:val="none" w:sz="0" w:space="0" w:color="auto"/>
        <w:right w:val="none" w:sz="0" w:space="0" w:color="auto"/>
      </w:divBdr>
    </w:div>
    <w:div w:id="1091509647">
      <w:bodyDiv w:val="1"/>
      <w:marLeft w:val="0"/>
      <w:marRight w:val="0"/>
      <w:marTop w:val="0"/>
      <w:marBottom w:val="0"/>
      <w:divBdr>
        <w:top w:val="none" w:sz="0" w:space="0" w:color="auto"/>
        <w:left w:val="none" w:sz="0" w:space="0" w:color="auto"/>
        <w:bottom w:val="none" w:sz="0" w:space="0" w:color="auto"/>
        <w:right w:val="none" w:sz="0" w:space="0" w:color="auto"/>
      </w:divBdr>
    </w:div>
    <w:div w:id="1152988712">
      <w:bodyDiv w:val="1"/>
      <w:marLeft w:val="0"/>
      <w:marRight w:val="0"/>
      <w:marTop w:val="0"/>
      <w:marBottom w:val="0"/>
      <w:divBdr>
        <w:top w:val="none" w:sz="0" w:space="0" w:color="auto"/>
        <w:left w:val="none" w:sz="0" w:space="0" w:color="auto"/>
        <w:bottom w:val="none" w:sz="0" w:space="0" w:color="auto"/>
        <w:right w:val="none" w:sz="0" w:space="0" w:color="auto"/>
      </w:divBdr>
    </w:div>
    <w:div w:id="1167556472">
      <w:bodyDiv w:val="1"/>
      <w:marLeft w:val="0"/>
      <w:marRight w:val="0"/>
      <w:marTop w:val="0"/>
      <w:marBottom w:val="0"/>
      <w:divBdr>
        <w:top w:val="none" w:sz="0" w:space="0" w:color="auto"/>
        <w:left w:val="none" w:sz="0" w:space="0" w:color="auto"/>
        <w:bottom w:val="none" w:sz="0" w:space="0" w:color="auto"/>
        <w:right w:val="none" w:sz="0" w:space="0" w:color="auto"/>
      </w:divBdr>
    </w:div>
    <w:div w:id="1194728163">
      <w:bodyDiv w:val="1"/>
      <w:marLeft w:val="0"/>
      <w:marRight w:val="0"/>
      <w:marTop w:val="0"/>
      <w:marBottom w:val="0"/>
      <w:divBdr>
        <w:top w:val="none" w:sz="0" w:space="0" w:color="auto"/>
        <w:left w:val="none" w:sz="0" w:space="0" w:color="auto"/>
        <w:bottom w:val="none" w:sz="0" w:space="0" w:color="auto"/>
        <w:right w:val="none" w:sz="0" w:space="0" w:color="auto"/>
      </w:divBdr>
    </w:div>
    <w:div w:id="1244603916">
      <w:bodyDiv w:val="1"/>
      <w:marLeft w:val="0"/>
      <w:marRight w:val="0"/>
      <w:marTop w:val="0"/>
      <w:marBottom w:val="0"/>
      <w:divBdr>
        <w:top w:val="none" w:sz="0" w:space="0" w:color="auto"/>
        <w:left w:val="none" w:sz="0" w:space="0" w:color="auto"/>
        <w:bottom w:val="none" w:sz="0" w:space="0" w:color="auto"/>
        <w:right w:val="none" w:sz="0" w:space="0" w:color="auto"/>
      </w:divBdr>
    </w:div>
    <w:div w:id="1382166505">
      <w:bodyDiv w:val="1"/>
      <w:marLeft w:val="0"/>
      <w:marRight w:val="0"/>
      <w:marTop w:val="0"/>
      <w:marBottom w:val="0"/>
      <w:divBdr>
        <w:top w:val="none" w:sz="0" w:space="0" w:color="auto"/>
        <w:left w:val="none" w:sz="0" w:space="0" w:color="auto"/>
        <w:bottom w:val="none" w:sz="0" w:space="0" w:color="auto"/>
        <w:right w:val="none" w:sz="0" w:space="0" w:color="auto"/>
      </w:divBdr>
    </w:div>
    <w:div w:id="1578243388">
      <w:bodyDiv w:val="1"/>
      <w:marLeft w:val="0"/>
      <w:marRight w:val="0"/>
      <w:marTop w:val="0"/>
      <w:marBottom w:val="0"/>
      <w:divBdr>
        <w:top w:val="none" w:sz="0" w:space="0" w:color="auto"/>
        <w:left w:val="none" w:sz="0" w:space="0" w:color="auto"/>
        <w:bottom w:val="none" w:sz="0" w:space="0" w:color="auto"/>
        <w:right w:val="none" w:sz="0" w:space="0" w:color="auto"/>
      </w:divBdr>
    </w:div>
    <w:div w:id="1773745864">
      <w:bodyDiv w:val="1"/>
      <w:marLeft w:val="0"/>
      <w:marRight w:val="0"/>
      <w:marTop w:val="0"/>
      <w:marBottom w:val="0"/>
      <w:divBdr>
        <w:top w:val="none" w:sz="0" w:space="0" w:color="auto"/>
        <w:left w:val="none" w:sz="0" w:space="0" w:color="auto"/>
        <w:bottom w:val="none" w:sz="0" w:space="0" w:color="auto"/>
        <w:right w:val="none" w:sz="0" w:space="0" w:color="auto"/>
      </w:divBdr>
    </w:div>
    <w:div w:id="17838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legibus/legibus/gacetas/2019/GC_1004_2019.pdf" TargetMode="External"/><Relationship Id="rId1" Type="http://schemas.openxmlformats.org/officeDocument/2006/relationships/hyperlink" Target="https://www.medicinalegal.gov.co/documents/20143/386932/Forensis+2018.pdf/be4816a4-3da3-1ff0-2779-e7b5e3962d60"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4T16:26:10.508"/>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850D-10DC-4F22-8B15-C481648E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20</Pages>
  <Words>5567</Words>
  <Characters>30624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Guatavita Osorio</dc:creator>
  <cp:keywords/>
  <dc:description/>
  <cp:lastModifiedBy>Ruth Amelia Caycedo Rosero</cp:lastModifiedBy>
  <cp:revision>26</cp:revision>
  <cp:lastPrinted>2024-04-08T20:21:00Z</cp:lastPrinted>
  <dcterms:created xsi:type="dcterms:W3CDTF">2024-04-02T17:20:00Z</dcterms:created>
  <dcterms:modified xsi:type="dcterms:W3CDTF">2024-04-08T20:27:00Z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4a1d0b-1085-4621-a04c-793d50865184_Enabled">
    <vt:lpwstr>true</vt:lpwstr>
  </property>
  <property fmtid="{D5CDD505-2E9C-101B-9397-08002B2CF9AE}" pid="3" name="MSIP_Label_6d4a1d0b-1085-4621-a04c-793d50865184_SetDate">
    <vt:lpwstr>2024-04-03T15:29:18Z</vt:lpwstr>
  </property>
  <property fmtid="{D5CDD505-2E9C-101B-9397-08002B2CF9AE}" pid="4" name="MSIP_Label_6d4a1d0b-1085-4621-a04c-793d50865184_Method">
    <vt:lpwstr>Standard</vt:lpwstr>
  </property>
  <property fmtid="{D5CDD505-2E9C-101B-9397-08002B2CF9AE}" pid="5" name="MSIP_Label_6d4a1d0b-1085-4621-a04c-793d50865184_Name">
    <vt:lpwstr>Criticidad media</vt:lpwstr>
  </property>
  <property fmtid="{D5CDD505-2E9C-101B-9397-08002B2CF9AE}" pid="6" name="MSIP_Label_6d4a1d0b-1085-4621-a04c-793d50865184_SiteId">
    <vt:lpwstr>052126ec-16f8-47eb-ae56-6886b94a9358</vt:lpwstr>
  </property>
  <property fmtid="{D5CDD505-2E9C-101B-9397-08002B2CF9AE}" pid="7" name="MSIP_Label_6d4a1d0b-1085-4621-a04c-793d50865184_ActionId">
    <vt:lpwstr>2fbe0621-bd1c-4b7a-96ae-47ba4db8b96f</vt:lpwstr>
  </property>
  <property fmtid="{D5CDD505-2E9C-101B-9397-08002B2CF9AE}" pid="8" name="MSIP_Label_6d4a1d0b-1085-4621-a04c-793d50865184_ContentBits">
    <vt:lpwstr>0</vt:lpwstr>
  </property>
</Properties>
</file>